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rPr>
          <w:rFonts w:ascii="Malgun Gothic" w:hAnsi="Malgun Gothic" w:eastAsia="맑은 고딕"/>
          <w:color w:val="111827"/>
        </w:rPr>
        <w:t>SK하이닉스 추천 정보와 구매 전 확인 포인트</w:t>
      </w:r>
    </w:p>
    <w:p>
      <w:pPr>
        <w:pStyle w:val="MetaText"/>
      </w:pPr>
      <w:r>
        <w:rPr>
          <w:rFonts w:ascii="Malgun Gothic" w:hAnsi="Malgun Gothic" w:eastAsia="맑은 고딕"/>
          <w:color w:val="111827"/>
        </w:rPr>
        <w:t>플랫폼: 자동 선택 · 검색의도: 자동 분석 · 발행일: 2026-07-11 13:28:22</w:t>
      </w:r>
    </w:p>
    <w:p>
      <w:pPr>
        <w:pStyle w:val="Heading2"/>
      </w:pPr>
      <w:r>
        <w:rPr>
          <w:rFonts w:ascii="Malgun Gothic" w:hAnsi="Malgun Gothic" w:eastAsia="맑은 고딕"/>
          <w:color w:val="111827"/>
        </w:rPr>
        <w:t>복사용 본문</w:t>
      </w:r>
    </w:p>
    <w:p>
      <w:pPr>
        <w:pStyle w:val="BodyText"/>
        <w:shd w:val="clear" w:color="auto" w:fill="EFF6FF"/>
        <w:pBdr>
          <w:left w:val="single" w:sz="16" w:space="8" w:color="2563EB"/>
        </w:pBdr>
        <w:spacing w:before="120" w:after="160"/>
      </w:pPr>
      <w:r>
        <w:rPr>
          <w:rFonts w:ascii="Malgun Gothic" w:hAnsi="Malgun Gothic" w:eastAsia="맑은 고딕"/>
          <w:color w:val="111827"/>
        </w:rPr>
        <w:t>편집</w:t>
      </w:r>
    </w:p>
    <w:p>
      <w:pPr>
        <w:pStyle w:val="BodyText"/>
      </w:pPr>
      <w:r>
        <w:rPr>
          <w:rFonts w:ascii="Malgun Gothic" w:hAnsi="Malgun Gothic" w:eastAsia="맑은 고딕"/>
          <w:color w:val="111827"/>
        </w:rPr>
        <w:t>SK하이닉스 나스닥 데뷔 12.8% 상승, AI 반도체 랠리 지속될까</w:t>
      </w:r>
    </w:p>
    <w:p>
      <w:pPr>
        <w:pStyle w:val="BodyText"/>
      </w:pPr>
      <w:r>
        <w:rPr>
          <w:rFonts w:ascii="Malgun Gothic" w:hAnsi="Malgun Gothic" w:eastAsia="맑은 고딕"/>
          <w:color w:val="111827"/>
        </w:rPr>
        <w:t>SK하이닉스가 미국 나스닥 거래 첫날 12.8% 상승했습니다. 결론부터 보면 이번 강세는 단순한 신규 상장 효과라기보다, 인공지능 서버에 필요한 고대역폭메모리 수요와 미국 투자자의 접근성 확대가 함께 반영된 결과에 가깝습니다. 다만 첫날 상승률만 보고 AI 반도체 주가가 계속 오를 것이라고 단정하기는 어렵습니다.</w:t>
      </w:r>
    </w:p>
    <w:p>
      <w:pPr>
        <w:pStyle w:val="BodyText"/>
      </w:pPr>
      <w:r>
        <w:rPr>
          <w:rFonts w:ascii="Malgun Gothic" w:hAnsi="Malgun Gothic" w:eastAsia="맑은 고딕"/>
          <w:color w:val="111827"/>
        </w:rPr>
        <w:t>공모가 149달러에서 168.01달러로</w:t>
      </w:r>
    </w:p>
    <w:p>
      <w:pPr>
        <w:pStyle w:val="BodyText"/>
      </w:pPr>
      <w:r>
        <w:rPr>
          <w:rFonts w:ascii="Malgun Gothic" w:hAnsi="Malgun Gothic" w:eastAsia="맑은 고딕"/>
          <w:color w:val="111827"/>
        </w:rPr>
        <w:t>2026년 7월 11일 한국시간 기준, SK하이닉스의 미국 주식예탁증서 ADR은 공모가 149달러로 출발해 170달러에 거래를 시작했고 168.01달러로 마감했습니다. 공모 규모는 약 265억 달러로 집계됐습니다.</w:t>
      </w:r>
    </w:p>
    <w:p>
      <w:pPr>
        <w:pStyle w:val="BodyText"/>
      </w:pPr>
      <w:r>
        <w:rPr>
          <w:rFonts w:ascii="Malgun Gothic" w:hAnsi="Malgun Gothic" w:eastAsia="맑은 고딕"/>
          <w:color w:val="111827"/>
        </w:rPr>
        <w:t>이번 거래는 SK하이닉스가 새로운 회사로 미국에 다시 상장한 것이 아닙니다. 국내 주식을 기초로 만든 ADR을 나스닥에서 거래할 수 있도록 한 방식입니다. 미국 투자자는 환전이나 한국 주식 계좌 이용 부담을 줄이면서 SK하이닉스에 투자할 수 있게 됐습니다.</w:t>
      </w:r>
    </w:p>
    <w:p>
      <w:pPr>
        <w:pStyle w:val="BodyText"/>
      </w:pPr>
      <w:r>
        <w:rPr>
          <w:rFonts w:ascii="Malgun Gothic" w:hAnsi="Malgun Gothic" w:eastAsia="맑은 고딕"/>
          <w:color w:val="111827"/>
        </w:rPr>
        <w:t>핵심은 AI가 아니라 HBM 수요</w:t>
      </w:r>
    </w:p>
    <w:p>
      <w:pPr>
        <w:pStyle w:val="BodyText"/>
      </w:pPr>
      <w:r>
        <w:rPr>
          <w:rFonts w:ascii="Malgun Gothic" w:hAnsi="Malgun Gothic" w:eastAsia="맑은 고딕"/>
          <w:color w:val="111827"/>
        </w:rPr>
        <w:t>시장이 주목한 부분은 SK하이닉스가 AI 반도체 공급망에서 맡고 있는 역할입니다. 생성형 AI 모델을 학습하고 실행하려면 GPU가 대량의 데이터를 빠르게 처리해야 하는데, 이때 필요한 부품이 고대역폭메모리 HBM입니다.</w:t>
      </w:r>
    </w:p>
    <w:p>
      <w:pPr>
        <w:pStyle w:val="BodyText"/>
      </w:pPr>
      <w:r>
        <w:rPr>
          <w:rFonts w:ascii="Malgun Gothic" w:hAnsi="Malgun Gothic" w:eastAsia="맑은 고딕"/>
          <w:color w:val="111827"/>
        </w:rPr>
        <w:t>AI 데이터센터 투자가 늘어날수록 GPU뿐 아니라 HBM과 첨단 패키징 수요도 함께 증가합니다. SK하이닉스는 이 시장의 주요 공급업체이기 때문에 미국 증시에서는 일반 메모리 기업보다 ‘AI 인프라 기업’에 가까운 평가를 받은 것으로 보입니다.</w:t>
      </w:r>
    </w:p>
    <w:p>
      <w:pPr>
        <w:pStyle w:val="BodyText"/>
      </w:pPr>
      <w:r>
        <w:rPr>
          <w:rFonts w:ascii="Malgun Gothic" w:hAnsi="Malgun Gothic" w:eastAsia="맑은 고딕"/>
          <w:color w:val="111827"/>
        </w:rPr>
        <w:t>나스닥 상장이 가져올 변화</w:t>
      </w:r>
    </w:p>
    <w:p>
      <w:pPr>
        <w:pStyle w:val="BodyText"/>
      </w:pPr>
      <w:r>
        <w:rPr>
          <w:rFonts w:ascii="Malgun Gothic" w:hAnsi="Malgun Gothic" w:eastAsia="맑은 고딕"/>
          <w:color w:val="111827"/>
        </w:rPr>
        <w:t>가장 직접적인 변화는 투자자 기반 확대입니다. 그동안 미국 투자자가 SK하이닉스에 투자하려면 한국 증시에 직접 접근하거나 관련 ETF를 이용해야 했습니다. 이제는 나스닥에서 ADR을 거래할 수 있어 미국 기관과 개인투자자의 접근성이 높아졌습니다.</w:t>
      </w:r>
    </w:p>
    <w:p>
      <w:pPr>
        <w:pStyle w:val="BodyText"/>
      </w:pPr>
      <w:r>
        <w:rPr>
          <w:rFonts w:ascii="Malgun Gothic" w:hAnsi="Malgun Gothic" w:eastAsia="맑은 고딕"/>
          <w:color w:val="111827"/>
        </w:rPr>
        <w:t>공모로 확보한 자금은 신규 생산시설과 AI 메모리 사업 확장에 활용될 가능성이 큽니다. 미국 현지 투자와 데이터센터 사업 계획도 함께 거론되고 있어, 앞으로는 HBM 판매량뿐 아니라 실제 설비투자 성과도 중요해질 전망입니다.</w:t>
      </w:r>
    </w:p>
    <w:p>
      <w:pPr>
        <w:pStyle w:val="BodyText"/>
      </w:pPr>
      <w:r>
        <w:rPr>
          <w:rFonts w:ascii="Malgun Gothic" w:hAnsi="Malgun Gothic" w:eastAsia="맑은 고딕"/>
          <w:color w:val="111827"/>
        </w:rPr>
        <w:t>첫날 급등 뒤 확인할 위험 요인</w:t>
      </w:r>
    </w:p>
    <w:p>
      <w:pPr>
        <w:pStyle w:val="BodyText"/>
      </w:pPr>
      <w:r>
        <w:rPr>
          <w:rFonts w:ascii="Malgun Gothic" w:hAnsi="Malgun Gothic" w:eastAsia="맑은 고딕"/>
          <w:color w:val="111827"/>
        </w:rPr>
        <w:t>주의할 점도 있습니다. 반도체 산업은 수요가 좋을 때 생산시설 투자가 몰리고, 공급이 늘어나면 가격이 빠르게 하락하는 사이클을 반복해 왔습니다. AI 기업들의 데이터센터 지출이 예상보다 둔화하거나 HBM 공급 부족이 완화되면 현재의 높은 기대가 조정될 수 있습니다.</w:t>
      </w:r>
    </w:p>
    <w:p>
      <w:pPr>
        <w:pStyle w:val="BodyText"/>
      </w:pPr>
      <w:r>
        <w:rPr>
          <w:rFonts w:ascii="Malgun Gothic" w:hAnsi="Malgun Gothic" w:eastAsia="맑은 고딕"/>
          <w:color w:val="111827"/>
        </w:rPr>
        <w:t>SK하이닉스 주가도 미국 상장 전 국내 시장에서 최근 고점 대비 약 25% 하락한 상태였습니다. 강한 장기 상승 흐름 안에서도 변동성이 상당했다는 뜻입니다. 첫날 거래 가격과 국내 주식의 가치 차이, 환율, ADR 수급도 함께 살펴볼 필요가 있습니다.</w:t>
      </w:r>
    </w:p>
    <w:p>
      <w:pPr>
        <w:pStyle w:val="BodyText"/>
      </w:pPr>
      <w:r>
        <w:rPr>
          <w:rFonts w:ascii="Malgun Gothic" w:hAnsi="Malgun Gothic" w:eastAsia="맑은 고딕"/>
          <w:color w:val="111827"/>
        </w:rPr>
        <w:t>다음 흐름은 실적이 결정한다</w:t>
      </w:r>
    </w:p>
    <w:p>
      <w:pPr>
        <w:pStyle w:val="BodyText"/>
      </w:pPr>
      <w:r>
        <w:rPr>
          <w:rFonts w:ascii="Malgun Gothic" w:hAnsi="Malgun Gothic" w:eastAsia="맑은 고딕"/>
          <w:color w:val="111827"/>
        </w:rPr>
        <w:t>앞으로는 SK하이닉스의 HBM 출하량과 가격, 주요 AI 기업의 설비투자 계획, 경쟁사의 공급 확대 여부가 핵심입니다. 다음 주 예정된 주요 반도체 기업의 실적 발표도 AI 서버 수요가 실제 주문으로 이어지고 있는지 확인하는 기준이 될 수 있습니다.</w:t>
      </w:r>
    </w:p>
    <w:p>
      <w:pPr>
        <w:pStyle w:val="NoteText"/>
        <w:shd w:val="clear" w:color="auto" w:fill="F8FAFC"/>
      </w:pPr>
      <w:r>
        <w:rPr>
          <w:rFonts w:ascii="Malgun Gothic" w:hAnsi="Malgun Gothic" w:eastAsia="맑은 고딕"/>
          <w:color w:val="111827"/>
        </w:rPr>
        <w:t>이번 나스닥 데뷔는 AI 메모리 산업에 대한 관심이 여전히 크다는 신호로 볼 수 있습니다. 다만 상장 첫날의 상승률은 장기 수익을 보장하지 않습니다. 이 글은 투자 참고용이며, 주식과 관련된 최종 판단과 책임은 투자자 본인에게 있습니다.</w:t>
      </w:r>
    </w:p>
    <w:p>
      <w:pPr>
        <w:pStyle w:val="NoteText"/>
        <w:shd w:val="clear" w:color="auto" w:fill="F8FAFC"/>
      </w:pPr>
      <w:r>
        <w:rPr>
          <w:rFonts w:ascii="Malgun Gothic" w:hAnsi="Malgun Gothic" w:eastAsia="맑은 고딕"/>
          <w:color w:val="111827"/>
        </w:rPr>
        <w:t>※ 이 글은 시장 흐름을 이해하기 위한 참고용 정보이며 특정 종목이나 자산에 대한 투자 권유가 아닙니다. 최종 판단과 투자 책임은 본인에게 있습니다.</w:t>
      </w:r>
    </w:p>
    <w:sectPr>
      <w:pgSz w:w="11906" w:h="16838"/>
      <w:pgMar w:top="1134" w:right="1134" w:bottom="1134" w:left="1134" w:header="500" w:footer="500" w:gutter="0"/>
    </w:sectPr>
  </w:body>
</w:document>
</file>

<file path=word/styles.xml><?xml version="1.0" encoding="utf-8"?>
<w:styles xmlns:w="http://schemas.openxmlformats.org/wordprocessingml/2006/main">
  <w:docDefaults>
    <w:rPrDefault>
      <w:rPr>
        <w:rFonts w:ascii="Malgun Gothic" w:hAnsi="Malgun Gothic" w:eastAsia="맑은 고딕"/>
        <w:sz w:val="21"/>
        <w:szCs w:val="21"/>
        <w:color w:val="263241"/>
      </w:rPr>
    </w:rPrDefault>
    <w:pPrDefault>
      <w:pPr>
        <w:spacing w:after="140" w:line="400" w:lineRule="auto"/>
      </w:pPr>
    </w:pPrDefault>
  </w:docDefaults>
  <w:style w:type="paragraph" w:default="1" w:styleId="Normal">
    <w:name w:val="Normal"/>
    <w:qFormat/>
  </w:style>
  <w:style w:type="paragraph" w:styleId="Title">
    <w:name w:val="Title"/>
    <w:basedOn w:val="Normal"/>
    <w:next w:val="BodyText"/>
    <w:qFormat/>
    <w:pPr>
      <w:spacing w:after="180"/>
    </w:pPr>
    <w:rPr>
      <w:b/>
      <w:color w:val="111827"/>
      <w:sz w:val="40"/>
      <w:szCs w:val="40"/>
    </w:rPr>
  </w:style>
  <w:style w:type="paragraph" w:styleId="Heading2">
    <w:name w:val="Heading 2"/>
    <w:basedOn w:val="Normal"/>
    <w:next w:val="BodyText"/>
    <w:qFormat/>
    <w:pPr>
      <w:spacing w:before="260" w:after="100"/>
      <w:keepNext/>
    </w:pPr>
    <w:rPr>
      <w:b/>
      <w:color w:val="1D4ED8"/>
      <w:sz w:val="30"/>
      <w:szCs w:val="30"/>
    </w:rPr>
  </w:style>
  <w:style w:type="paragraph" w:styleId="Heading3">
    <w:name w:val="Heading 3"/>
    <w:basedOn w:val="Normal"/>
    <w:next w:val="BodyText"/>
    <w:qFormat/>
    <w:pPr>
      <w:spacing w:before="200" w:after="80"/>
      <w:keepNext/>
    </w:pPr>
    <w:rPr>
      <w:b/>
      <w:color w:val="6D28D9"/>
      <w:sz w:val="26"/>
      <w:szCs w:val="26"/>
    </w:rPr>
  </w:style>
  <w:style w:type="paragraph" w:styleId="BodyText">
    <w:name w:val="Body Text"/>
    <w:basedOn w:val="Normal"/>
    <w:pPr>
      <w:spacing w:after="140" w:line="400" w:lineRule="auto"/>
    </w:pPr>
    <w:rPr>
      <w:sz w:val="21"/>
      <w:szCs w:val="21"/>
    </w:rPr>
  </w:style>
  <w:style w:type="paragraph" w:styleId="ListText">
    <w:name w:val="List Text"/>
    <w:basedOn w:val="BodyText"/>
    <w:pPr>
      <w:ind w:left="360" w:hanging="180"/>
    </w:pPr>
  </w:style>
  <w:style w:type="paragraph" w:styleId="NoteText">
    <w:name w:val="Note Text"/>
    <w:basedOn w:val="BodyText"/>
    <w:pPr>
      <w:spacing w:after="120"/>
      <w:shd w:val="clear" w:color="auto" w:fill="F8FAFC"/>
    </w:pPr>
    <w:rPr>
      <w:color w:val="64748B"/>
      <w:sz w:val="19"/>
      <w:szCs w:val="19"/>
    </w:rPr>
  </w:style>
  <w:style w:type="paragraph" w:styleId="MetaText">
    <w:name w:val="Meta Text"/>
    <w:basedOn w:val="Normal"/>
    <w:pPr>
      <w:spacing w:after="180"/>
    </w:pPr>
    <w:rPr>
      <w:color w:val="64748B"/>
      <w:sz w:val="18"/>
      <w:szCs w:val="18"/>
    </w:rPr>
  </w:style>
  <w:style w:type="paragraph" w:styleId="TableText">
    <w:name w:val="Table Text"/>
    <w:basedOn w:val="Normal"/>
    <w:pPr>
      <w:spacing w:after="60" w:line="300" w:lineRule="auto"/>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NEO AI</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SK하이닉스 추천 정보와 구매 전 확인 포인트</dc:title>
  <dc:creator>NEO AI 콘텐츠 센터</dc:creator>
  <cp:lastModifiedBy>NEO AI 콘텐츠 센터</cp:lastModifiedBy>
  <dcterms:created xsi:type="dcterms:W3CDTF">2026-07-11T08:09:13Z</dcterms:created>
  <dcterms:modified xsi:type="dcterms:W3CDTF">2026-07-11T08:09:13Z</dcterms:modified>
</cp:coreProperties>
</file>