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삼성전자, AI용 eSSD 'PM1763' 본격 양산…AI 서버 저장장치 경쟁에서 달라지는 점</w:t>
      </w:r>
    </w:p>
    <w:p>
      <w:pPr>
        <w:pStyle w:val="MetaText"/>
      </w:pPr>
      <w:r>
        <w:rPr>
          <w:rFonts w:ascii="Malgun Gothic" w:hAnsi="Malgun Gothic" w:eastAsia="맑은 고딕"/>
          <w:color w:val="111827"/>
        </w:rPr>
        <w:t>플랫폼: 자동 선택 · 검색의도: 자동 분석 · 발행일: 2026-07-08 15:32:43</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삼성전자가 AI용 기업용 SSD인 ‘PM1763’ 양산을 시작했다는 점은 단순한 신제품 출시보다 의미가 큽니다. AI 학습과 추론에 쓰이는 데이터가 커지면서, GPU나 HBM뿐 아니라 데이터를 빠르게 불러오고 안정적으로 처리하는 저장장치의 중요성도 함께 커지고 있기 때문입니다. 2026년 7월 8일 한국시간 기준, 현재 확인 가능한 내용은 PM1763이 차세대 AI·고성능컴퓨팅 서버 환경을 겨냥한 PCIe 6.0 기반 eSSD라는 점입니다.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왜 AI용 eSSD가 주목받을까</w:t>
      </w:r>
    </w:p>
    <w:p>
      <w:pPr>
        <w:pStyle w:val="BodyText"/>
      </w:pPr>
      <w:r>
        <w:rPr>
          <w:rFonts w:ascii="Malgun Gothic" w:hAnsi="Malgun Gothic" w:eastAsia="맑은 고딕"/>
          <w:color w:val="111827"/>
        </w:rPr>
        <w:t>AI 서버에서는 연산장치만 빠르다고 전체 속도가 좋아지는 것은 아닙니다. 대규모 언어모델이나 추천 시스템처럼 데이터 이동이 많은 작업에서는 저장장치가 병목이 될 수 있습니다. PM1763은 이런 흐름에 맞춰 AI 인프라와 HPC 서버에서 대용량 데이터를 빠르게 옮기는 데 초점을 둔 제품으로 소개됐습니다.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특히 삼성전자는 PM1763이 기존 세대 대비 성능과 전력 효율을 높였다고 설명하고 있습니다. 다만 실제 성능은 서버 구성, 냉각 방식, 적용 환경에 따라 달라질 수 있으므로 숫자만 보고 모든 환경에서 같은 결과를 기대하기는 어렵습니다.</w:t>
      </w:r>
    </w:p>
    <w:p>
      <w:pPr>
        <w:pStyle w:val="BodyText"/>
      </w:pPr>
      <w:r>
        <w:rPr>
          <w:rFonts w:ascii="Malgun Gothic" w:hAnsi="Malgun Gothic" w:eastAsia="맑은 고딕"/>
          <w:color w:val="111827"/>
        </w:rPr>
        <w:t>Samsung Semiconductor Global</w:t>
      </w:r>
    </w:p>
    <w:p>
      <w:pPr>
        <w:pStyle w:val="BodyText"/>
      </w:pPr>
      <w:r>
        <w:rPr>
          <w:rFonts w:ascii="Malgun Gothic" w:hAnsi="Malgun Gothic" w:eastAsia="맑은 고딕"/>
          <w:color w:val="111827"/>
        </w:rPr>
        <w:t>PM1763에서 눈에 띄는 변화</w:t>
      </w:r>
    </w:p>
    <w:p>
      <w:pPr>
        <w:pStyle w:val="BodyText"/>
      </w:pPr>
      <w:r>
        <w:rPr>
          <w:rFonts w:ascii="Malgun Gothic" w:hAnsi="Malgun Gothic" w:eastAsia="맑은 고딕"/>
          <w:color w:val="111827"/>
        </w:rPr>
        <w:t>PM1763은 삼성전자의 9세대 V낸드와 새 4나노 컨트롤러를 적용한 제품입니다. 공식 발표 기준으로 16TB 구성에서 순차 읽기 최대 28,400MB/s, 순차 쓰기 최대 21,900MB/s 성능이 제시됐고, 이는 이전 세대 PM1753보다 2배 이상 높아진 수치로 설명됐습니다.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제품 페이지에서는 PCIe Gen6 환경에서 PAM4 신호를 안정적으로 지원하고, AI 워크로드에서 데이터 이동 제약을 줄이는 방향으로 설계됐다고 안내하고 있습니다. 쉽게 말하면 AI 서버 안에서 연산장치가 기다리는 시간을 줄이는 데 도움이 되는 저장장치라는 뜻으로 볼 수 있습니다.</w:t>
      </w:r>
    </w:p>
    <w:p>
      <w:pPr>
        <w:pStyle w:val="BodyText"/>
      </w:pPr>
      <w:r>
        <w:rPr>
          <w:rFonts w:ascii="Malgun Gothic" w:hAnsi="Malgun Gothic" w:eastAsia="맑은 고딕"/>
          <w:color w:val="111827"/>
        </w:rPr>
        <w:t>Samsung Semiconductor Global</w:t>
      </w:r>
    </w:p>
    <w:p>
      <w:pPr>
        <w:pStyle w:val="BodyText"/>
      </w:pPr>
      <w:r>
        <w:rPr>
          <w:rFonts w:ascii="Malgun Gothic" w:hAnsi="Malgun Gothic" w:eastAsia="맑은 고딕"/>
          <w:color w:val="111827"/>
        </w:rPr>
        <w:t>전력 효율과 냉각도 핵심 포인트</w:t>
      </w:r>
    </w:p>
    <w:p>
      <w:pPr>
        <w:pStyle w:val="BodyText"/>
      </w:pPr>
      <w:r>
        <w:rPr>
          <w:rFonts w:ascii="Malgun Gothic" w:hAnsi="Malgun Gothic" w:eastAsia="맑은 고딕"/>
          <w:color w:val="111827"/>
        </w:rPr>
        <w:t>AI 데이터센터는 성능만큼 전력과 발열 관리가 중요합니다. PM1763은 컨트롤러 구조 최적화와 설계 개선을 통해 이전 세대 대비 전력 효율을 최대 1.8배 개선했다고 설명됐습니다. 또 직접 칩을 냉각하는 D2C 방식 등 액체냉각 서버 환경에 맞춘 부분도 강조됐습니다.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이 부분은 데이터센터 운영비와 연결됩니다. 같은 작업을 더 적은 전력으로 처리하거나, 고밀도 서버에서 안정적으로 성능을 유지할 수 있다면 기업 고객 입장에서는 장기적인 운영 효율을 따져볼 수 있습니다. 다만 실제 비용 절감 효과는 도입 규모와 서버 구조에 따라 확인이 필요합니다.</w:t>
      </w:r>
    </w:p>
    <w:p>
      <w:pPr>
        <w:pStyle w:val="BodyText"/>
      </w:pPr>
      <w:r>
        <w:rPr>
          <w:rFonts w:ascii="Malgun Gothic" w:hAnsi="Malgun Gothic" w:eastAsia="맑은 고딕"/>
          <w:color w:val="111827"/>
        </w:rPr>
        <w:t>일반 소비자용 SSD와는 다르다</w:t>
      </w:r>
    </w:p>
    <w:p>
      <w:pPr>
        <w:pStyle w:val="BodyText"/>
      </w:pPr>
      <w:r>
        <w:rPr>
          <w:rFonts w:ascii="Malgun Gothic" w:hAnsi="Malgun Gothic" w:eastAsia="맑은 고딕"/>
          <w:color w:val="111827"/>
        </w:rPr>
        <w:t>PM1763은 일반 노트북이나 데스크톱 PC용 SSD라기보다 hyperscale 데이터센터와 기업 서버를 겨냥한 eSSD입니다. 제품 정보 기준으로 E1.S, E3.S, U.2 폼팩터와 4TB부터 64TB까지의 용량 구성이 언급되며, PCIe Gen6 기반 NVMe 2.1과 OCP 2.6 표준에 맞춘 점도 확인됩니다. 단, U.2 폼팩터는 PCIe Gen5 인터페이스 지원으로 안내돼 있어 세부 구성은 구매 또는 도입 단계에서 별도 확인이 필요합니다.</w:t>
      </w:r>
    </w:p>
    <w:p>
      <w:pPr>
        <w:pStyle w:val="BodyText"/>
      </w:pPr>
      <w:r>
        <w:rPr>
          <w:rFonts w:ascii="Malgun Gothic" w:hAnsi="Malgun Gothic" w:eastAsia="맑은 고딕"/>
          <w:color w:val="111827"/>
        </w:rPr>
        <w:t>Samsung Semiconductor Global</w:t>
      </w:r>
    </w:p>
    <w:p>
      <w:pPr>
        <w:pStyle w:val="BodyText"/>
      </w:pPr>
      <w:r>
        <w:rPr>
          <w:rFonts w:ascii="Malgun Gothic" w:hAnsi="Malgun Gothic" w:eastAsia="맑은 고딕"/>
          <w:color w:val="111827"/>
        </w:rPr>
        <w:t>보안 기능도 강화됐습니다. PM1763은 양자컴퓨팅 시대를 대비한 PQC 알고리즘과 가상화 환경의 데이터 경로 보호를 돕는 TDISP 기반 기능을 지원한다고 설명됐습니다. AI 인프라에서 데이터 보호와 신뢰성이 더 중요해지는 흐름을 반영한 부분입니다.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앞으로 봐야 할 점</w:t>
      </w:r>
    </w:p>
    <w:p>
      <w:pPr>
        <w:pStyle w:val="BodyText"/>
      </w:pPr>
      <w:r>
        <w:rPr>
          <w:rFonts w:ascii="Malgun Gothic" w:hAnsi="Malgun Gothic" w:eastAsia="맑은 고딕"/>
          <w:color w:val="111827"/>
        </w:rPr>
        <w:t>이번 양산 소식은 삼성전자가 AI 인프라용 저장장치 시장에서도 기술 경쟁을 이어가고 있다는 신호로 볼 수 있습니다. HBM, D램, 낸드, eSSD가 함께 움직이는 AI 반도체 생태계에서 저장장치의 역할이 더 커지고 있다는 점도 확인됩니다.</w:t>
      </w:r>
    </w:p>
    <w:p>
      <w:pPr>
        <w:pStyle w:val="BodyText"/>
      </w:pPr>
      <w:r>
        <w:rPr>
          <w:rFonts w:ascii="Malgun Gothic" w:hAnsi="Malgun Gothic" w:eastAsia="맑은 고딕"/>
          <w:color w:val="111827"/>
        </w:rPr>
        <w:t>다만 PM1763 양산이 곧바로 특정 실적이나 주가 흐름을 보장한다고 보기는 어렵습니다. 실제 매출 기여도는 고객사 채택 규모, AI 서버 투자 속도, 경쟁사 제품 흐름, 메모리 업황에 따라 달라질 수 있습니다.</w:t>
      </w:r>
    </w:p>
    <w:p>
      <w:pPr>
        <w:pStyle w:val="NoteText"/>
        <w:shd w:val="clear" w:color="auto" w:fill="F8FAFC"/>
      </w:pPr>
      <w:r>
        <w:rPr>
          <w:rFonts w:ascii="Malgun Gothic" w:hAnsi="Malgun Gothic" w:eastAsia="맑은 고딕"/>
          <w:color w:val="111827"/>
        </w:rPr>
        <w:t>결론적으로 삼성전자 AI용 eSSD PM1763 본격 양산은 AI 서버 시장에서 “더 빠르고 효율적인 데이터 이동”을 겨냥한 변화입니다. 기술적으로는 분명 주목할 만하지만, 투자 관점에서는 참고용 정보로만 보는 것이 좋고 최종 투자 판단과 책임은 본인에게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삼성전자가 AI용 기업용 SSD인 ‘PM1763’ 양산을 시작했다는 점은 단순한 신제품 출시보다 의미가 큽니다. AI 학습과 추론에 쓰이는 데이터가 커지면서, GPU나 HBM뿐 아니라 데이터를 빠르게 불러오고 안정적으로 처리하는 저장장치의 중요성도 함께 커지고 있기 때</w:t>
      </w:r>
    </w:p>
    <w:p>
      <w:pPr>
        <w:pStyle w:val="Heading2"/>
      </w:pPr>
      <w:r>
        <w:rPr>
          <w:rFonts w:ascii="Malgun Gothic" w:hAnsi="Malgun Gothic" w:eastAsia="맑은 고딕"/>
          <w:color w:val="111827"/>
        </w:rPr>
        <w:t>주요 쟁점 표</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항목</w:t>
            </w:r>
          </w:p>
        </w:tc>
        <w:tc>
          <w:tcPr>
            <w:tcW w:w="2400" w:type="dxa"/>
            <w:shd w:val="clear" w:fill="F1F5F9"/>
          </w:tcPr>
          <w:p>
            <w:pPr>
              <w:pStyle w:val="TableText"/>
            </w:pPr>
            <w:r>
              <w:rPr>
                <w:rFonts w:ascii="Malgun Gothic" w:hAnsi="Malgun Gothic" w:eastAsia="맑은 고딕"/>
                <w:color w:val="111827"/>
              </w:rPr>
              <w:t>내용</w:t>
            </w:r>
          </w:p>
        </w:tc>
      </w:tr>
      <w:tr>
        <w:tc>
          <w:tcPr>
            <w:tcW w:w="2400" w:type="dxa"/>
          </w:tcPr>
          <w:p>
            <w:pPr>
              <w:pStyle w:val="TableText"/>
            </w:pPr>
            <w:r>
              <w:rPr>
                <w:rFonts w:ascii="Malgun Gothic" w:hAnsi="Malgun Gothic" w:eastAsia="맑은 고딕"/>
                <w:color w:val="111827"/>
              </w:rPr>
              <w:t>핵심 이슈</w:t>
            </w:r>
          </w:p>
        </w:tc>
        <w:tc>
          <w:tcPr>
            <w:tcW w:w="2400" w:type="dxa"/>
          </w:tcPr>
          <w:p>
            <w:pPr>
              <w:pStyle w:val="TableText"/>
            </w:pPr>
            <w:r>
              <w:rPr>
                <w:rFonts w:ascii="Malgun Gothic" w:hAnsi="Malgun Gothic" w:eastAsia="맑은 고딕"/>
                <w:color w:val="111827"/>
              </w:rPr>
              <w:t>기사 본문에서 가장 중요한 변화와 배경</w:t>
            </w:r>
          </w:p>
        </w:tc>
      </w:tr>
      <w:tr>
        <w:tc>
          <w:tcPr>
            <w:tcW w:w="2400" w:type="dxa"/>
          </w:tcPr>
          <w:p>
            <w:pPr>
              <w:pStyle w:val="TableText"/>
            </w:pPr>
            <w:r>
              <w:rPr>
                <w:rFonts w:ascii="Malgun Gothic" w:hAnsi="Malgun Gothic" w:eastAsia="맑은 고딕"/>
                <w:color w:val="111827"/>
              </w:rPr>
              <w:t>영향 범위</w:t>
            </w:r>
          </w:p>
        </w:tc>
        <w:tc>
          <w:tcPr>
            <w:tcW w:w="2400" w:type="dxa"/>
          </w:tcPr>
          <w:p>
            <w:pPr>
              <w:pStyle w:val="TableText"/>
            </w:pPr>
            <w:r>
              <w:rPr>
                <w:rFonts w:ascii="Malgun Gothic" w:hAnsi="Malgun Gothic" w:eastAsia="맑은 고딕"/>
                <w:color w:val="111827"/>
              </w:rPr>
              <w:t>시장, 산업, 정책, 투자 심리에 미칠 수 있는 영향</w:t>
            </w:r>
          </w:p>
        </w:tc>
      </w:tr>
      <w:tr>
        <w:tc>
          <w:tcPr>
            <w:tcW w:w="2400" w:type="dxa"/>
          </w:tcPr>
          <w:p>
            <w:pPr>
              <w:pStyle w:val="TableText"/>
            </w:pPr>
            <w:r>
              <w:rPr>
                <w:rFonts w:ascii="Malgun Gothic" w:hAnsi="Malgun Gothic" w:eastAsia="맑은 고딕"/>
                <w:color w:val="111827"/>
              </w:rPr>
              <w:t>확인 포인트</w:t>
            </w:r>
          </w:p>
        </w:tc>
        <w:tc>
          <w:tcPr>
            <w:tcW w:w="2400" w:type="dxa"/>
          </w:tcPr>
          <w:p>
            <w:pPr>
              <w:pStyle w:val="TableText"/>
            </w:pPr>
            <w:r>
              <w:rPr>
                <w:rFonts w:ascii="Malgun Gothic" w:hAnsi="Malgun Gothic" w:eastAsia="맑은 고딕"/>
                <w:color w:val="111827"/>
              </w:rPr>
              <w:t>후속 발표, 실적, 규제, 가격 흐름 등 추가로 볼 지점</w:t>
            </w:r>
          </w:p>
        </w:tc>
      </w:tr>
    </w:tbl>
    <w:p>
      <w:pPr>
        <w:pStyle w:val="Heading2"/>
      </w:pPr>
      <w:r>
        <w:rPr>
          <w:rFonts w:ascii="Malgun Gothic" w:hAnsi="Malgun Gothic" w:eastAsia="맑은 고딕"/>
          <w:color w:val="111827"/>
        </w:rPr>
        <w:t>시장 영향 체크</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구분</w:t>
            </w:r>
          </w:p>
        </w:tc>
        <w:tc>
          <w:tcPr>
            <w:tcW w:w="2400" w:type="dxa"/>
            <w:shd w:val="clear" w:fill="F1F5F9"/>
          </w:tcPr>
          <w:p>
            <w:pPr>
              <w:pStyle w:val="TableText"/>
            </w:pPr>
            <w:r>
              <w:rPr>
                <w:rFonts w:ascii="Malgun Gothic" w:hAnsi="Malgun Gothic" w:eastAsia="맑은 고딕"/>
                <w:color w:val="111827"/>
              </w:rPr>
              <w:t>점검 내용</w:t>
            </w:r>
          </w:p>
        </w:tc>
      </w:tr>
      <w:tr>
        <w:tc>
          <w:tcPr>
            <w:tcW w:w="2400" w:type="dxa"/>
          </w:tcPr>
          <w:p>
            <w:pPr>
              <w:pStyle w:val="TableText"/>
            </w:pPr>
            <w:r>
              <w:rPr>
                <w:rFonts w:ascii="Malgun Gothic" w:hAnsi="Malgun Gothic" w:eastAsia="맑은 고딕"/>
                <w:color w:val="111827"/>
              </w:rPr>
              <w:t>단기 흐름</w:t>
            </w:r>
          </w:p>
        </w:tc>
        <w:tc>
          <w:tcPr>
            <w:tcW w:w="2400" w:type="dxa"/>
          </w:tcPr>
          <w:p>
            <w:pPr>
              <w:pStyle w:val="TableText"/>
            </w:pPr>
            <w:r>
              <w:rPr>
                <w:rFonts w:ascii="Malgun Gothic" w:hAnsi="Malgun Gothic" w:eastAsia="맑은 고딕"/>
                <w:color w:val="111827"/>
              </w:rPr>
              <w:t>뉴스 직후 반응과 변동성 확대 여부</w:t>
            </w:r>
          </w:p>
        </w:tc>
      </w:tr>
      <w:tr>
        <w:tc>
          <w:tcPr>
            <w:tcW w:w="2400" w:type="dxa"/>
          </w:tcPr>
          <w:p>
            <w:pPr>
              <w:pStyle w:val="TableText"/>
            </w:pPr>
            <w:r>
              <w:rPr>
                <w:rFonts w:ascii="Malgun Gothic" w:hAnsi="Malgun Gothic" w:eastAsia="맑은 고딕"/>
                <w:color w:val="111827"/>
              </w:rPr>
              <w:t>중기 흐름</w:t>
            </w:r>
          </w:p>
        </w:tc>
        <w:tc>
          <w:tcPr>
            <w:tcW w:w="2400" w:type="dxa"/>
          </w:tcPr>
          <w:p>
            <w:pPr>
              <w:pStyle w:val="TableText"/>
            </w:pPr>
            <w:r>
              <w:rPr>
                <w:rFonts w:ascii="Malgun Gothic" w:hAnsi="Malgun Gothic" w:eastAsia="맑은 고딕"/>
                <w:color w:val="111827"/>
              </w:rPr>
              <w:t>산업 구조, 기업 실적, 정책 방향과의 연결성</w:t>
            </w:r>
          </w:p>
        </w:tc>
      </w:tr>
      <w:tr>
        <w:tc>
          <w:tcPr>
            <w:tcW w:w="2400" w:type="dxa"/>
          </w:tcPr>
          <w:p>
            <w:pPr>
              <w:pStyle w:val="TableText"/>
            </w:pPr>
            <w:r>
              <w:rPr>
                <w:rFonts w:ascii="Malgun Gothic" w:hAnsi="Malgun Gothic" w:eastAsia="맑은 고딕"/>
                <w:color w:val="111827"/>
              </w:rPr>
              <w:t>리스크</w:t>
            </w:r>
          </w:p>
        </w:tc>
        <w:tc>
          <w:tcPr>
            <w:tcW w:w="2400" w:type="dxa"/>
          </w:tcPr>
          <w:p>
            <w:pPr>
              <w:pStyle w:val="TableText"/>
            </w:pPr>
            <w:r>
              <w:rPr>
                <w:rFonts w:ascii="Malgun Gothic" w:hAnsi="Malgun Gothic" w:eastAsia="맑은 고딕"/>
                <w:color w:val="111827"/>
              </w:rPr>
              <w:t>과도한 기대, 정보 불확실성, 외부 변수 가능성</w:t>
            </w:r>
          </w:p>
        </w:tc>
      </w:tr>
    </w:tbl>
    <w:p>
      <w:pPr>
        <w:pStyle w:val="Heading2"/>
      </w:pPr>
      <w:r>
        <w:rPr>
          <w:rFonts w:ascii="Malgun Gothic" w:hAnsi="Malgun Gothic" w:eastAsia="맑은 고딕"/>
          <w:color w:val="111827"/>
        </w:rPr>
        <w:t>투자자가 볼 부분</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관점</w:t>
            </w:r>
          </w:p>
        </w:tc>
        <w:tc>
          <w:tcPr>
            <w:tcW w:w="2400" w:type="dxa"/>
            <w:shd w:val="clear" w:fill="F1F5F9"/>
          </w:tcPr>
          <w:p>
            <w:pPr>
              <w:pStyle w:val="TableText"/>
            </w:pPr>
            <w:r>
              <w:rPr>
                <w:rFonts w:ascii="Malgun Gothic" w:hAnsi="Malgun Gothic" w:eastAsia="맑은 고딕"/>
                <w:color w:val="111827"/>
              </w:rPr>
              <w:t>해석</w:t>
            </w:r>
          </w:p>
        </w:tc>
      </w:tr>
      <w:tr>
        <w:tc>
          <w:tcPr>
            <w:tcW w:w="2400" w:type="dxa"/>
          </w:tcPr>
          <w:p>
            <w:pPr>
              <w:pStyle w:val="TableText"/>
            </w:pPr>
            <w:r>
              <w:rPr>
                <w:rFonts w:ascii="Malgun Gothic" w:hAnsi="Malgun Gothic" w:eastAsia="맑은 고딕"/>
                <w:color w:val="111827"/>
              </w:rPr>
              <w:t>긍정 요인</w:t>
            </w:r>
          </w:p>
        </w:tc>
        <w:tc>
          <w:tcPr>
            <w:tcW w:w="2400" w:type="dxa"/>
          </w:tcPr>
          <w:p>
            <w:pPr>
              <w:pStyle w:val="TableText"/>
            </w:pPr>
            <w:r>
              <w:rPr>
                <w:rFonts w:ascii="Malgun Gothic" w:hAnsi="Malgun Gothic" w:eastAsia="맑은 고딕"/>
                <w:color w:val="111827"/>
              </w:rPr>
              <w:t>성장성, 수요, 정책 지원, 기술 진전 가능성</w:t>
            </w:r>
          </w:p>
        </w:tc>
      </w:tr>
      <w:tr>
        <w:tc>
          <w:tcPr>
            <w:tcW w:w="2400" w:type="dxa"/>
          </w:tcPr>
          <w:p>
            <w:pPr>
              <w:pStyle w:val="TableText"/>
            </w:pPr>
            <w:r>
              <w:rPr>
                <w:rFonts w:ascii="Malgun Gothic" w:hAnsi="Malgun Gothic" w:eastAsia="맑은 고딕"/>
                <w:color w:val="111827"/>
              </w:rPr>
              <w:t>부담 요인</w:t>
            </w:r>
          </w:p>
        </w:tc>
        <w:tc>
          <w:tcPr>
            <w:tcW w:w="2400" w:type="dxa"/>
          </w:tcPr>
          <w:p>
            <w:pPr>
              <w:pStyle w:val="TableText"/>
            </w:pPr>
            <w:r>
              <w:rPr>
                <w:rFonts w:ascii="Malgun Gothic" w:hAnsi="Malgun Gothic" w:eastAsia="맑은 고딕"/>
                <w:color w:val="111827"/>
              </w:rPr>
              <w:t>비용, 경쟁, 규제, 금리 및 환율 변화</w:t>
            </w:r>
          </w:p>
        </w:tc>
      </w:tr>
      <w:tr>
        <w:tc>
          <w:tcPr>
            <w:tcW w:w="2400" w:type="dxa"/>
          </w:tcPr>
          <w:p>
            <w:pPr>
              <w:pStyle w:val="TableText"/>
            </w:pPr>
            <w:r>
              <w:rPr>
                <w:rFonts w:ascii="Malgun Gothic" w:hAnsi="Malgun Gothic" w:eastAsia="맑은 고딕"/>
                <w:color w:val="111827"/>
              </w:rPr>
              <w:t>확인 자료</w:t>
            </w:r>
          </w:p>
        </w:tc>
        <w:tc>
          <w:tcPr>
            <w:tcW w:w="2400" w:type="dxa"/>
          </w:tcPr>
          <w:p>
            <w:pPr>
              <w:pStyle w:val="TableText"/>
            </w:pPr>
            <w:r>
              <w:rPr>
                <w:rFonts w:ascii="Malgun Gothic" w:hAnsi="Malgun Gothic" w:eastAsia="맑은 고딕"/>
                <w:color w:val="111827"/>
              </w:rPr>
              <w:t>공식 발표, 실적 자료, 시장 데이터, 후속 보도</w:t>
            </w:r>
          </w:p>
        </w:tc>
      </w:tr>
    </w:tbl>
    <w:p>
      <w:pPr>
        <w:pStyle w:val="Heading2"/>
      </w:pPr>
      <w:r>
        <w:rPr>
          <w:rFonts w:ascii="Malgun Gothic" w:hAnsi="Malgun Gothic" w:eastAsia="맑은 고딕"/>
          <w:color w:val="111827"/>
        </w:rPr>
        <w:t>검색 유입 키워드</w:t>
      </w:r>
    </w:p>
    <w:p>
      <w:pPr>
        <w:pStyle w:val="BodyText"/>
      </w:pPr>
      <w:r>
        <w:rPr>
          <w:rFonts w:ascii="Malgun Gothic" w:hAnsi="Malgun Gothic" w:eastAsia="맑은 고딕"/>
          <w:color w:val="111827"/>
        </w:rPr>
        <w:t>이 글은 키워드블로그, 해외뉴스, 경제뉴스, 미국주식, AI뉴스, IT뉴스, 반도체, 비트코인 키워드를 중심으로 정리했습니다. 관련 이슈를 검색하는 방문자가 핵심 배경, 영향, 확인 포인트를 빠르게 파악할 수 있도록 구성했습니다.</w:t>
      </w:r>
    </w:p>
    <w:p>
      <w:pPr>
        <w:pStyle w:val="Heading2"/>
      </w:pPr>
      <w:r>
        <w:rPr>
          <w:rFonts w:ascii="Malgun Gothic" w:hAnsi="Malgun Gothic" w:eastAsia="맑은 고딕"/>
          <w:color w:val="111827"/>
        </w:rPr>
        <w:t>FAQ</w:t>
      </w:r>
    </w:p>
    <w:p>
      <w:pPr>
        <w:pStyle w:val="Heading3"/>
      </w:pPr>
      <w:r>
        <w:rPr>
          <w:rFonts w:ascii="Malgun Gothic" w:hAnsi="Malgun Gothic" w:eastAsia="맑은 고딕"/>
          <w:color w:val="111827"/>
        </w:rPr>
        <w:t>Q1. 키워드블로그 이슈에서 가장 먼저 볼 점은 무엇인가요?</w:t>
      </w:r>
    </w:p>
    <w:p>
      <w:pPr>
        <w:pStyle w:val="BodyText"/>
      </w:pPr>
      <w:r>
        <w:rPr>
          <w:rFonts w:ascii="Malgun Gothic" w:hAnsi="Malgun Gothic" w:eastAsia="맑은 고딕"/>
          <w:color w:val="111827"/>
        </w:rPr>
        <w:t>본문의 핵심 요약과 주요 쟁점 표를 먼저 보면 전체 흐름을 빠르게 이해할 수 있습니다.</w:t>
      </w:r>
    </w:p>
    <w:p>
      <w:pPr>
        <w:pStyle w:val="Heading3"/>
      </w:pPr>
      <w:r>
        <w:rPr>
          <w:rFonts w:ascii="Malgun Gothic" w:hAnsi="Malgun Gothic" w:eastAsia="맑은 고딕"/>
          <w:color w:val="111827"/>
        </w:rPr>
        <w:t>Q2. 이 내용은 투자 판단에 바로 사용해도 되나요?</w:t>
      </w:r>
    </w:p>
    <w:p>
      <w:pPr>
        <w:pStyle w:val="NoteText"/>
        <w:shd w:val="clear" w:color="auto" w:fill="F8FAFC"/>
      </w:pPr>
      <w:r>
        <w:rPr>
          <w:rFonts w:ascii="Malgun Gothic" w:hAnsi="Malgun Gothic" w:eastAsia="맑은 고딕"/>
          <w:color w:val="111827"/>
        </w:rPr>
        <w:t>아닙니다. 이 글은 정보 제공 목적이며, 투자 판단은 추가 자료 확인과 본인 책임으로 진행해야 합니다.</w:t>
      </w:r>
    </w:p>
    <w:p>
      <w:pPr>
        <w:pStyle w:val="NoteText"/>
        <w:shd w:val="clear" w:color="auto" w:fill="F8FAFC"/>
      </w:pPr>
      <w:r>
        <w:rPr>
          <w:rFonts w:ascii="Malgun Gothic" w:hAnsi="Malgun Gothic" w:eastAsia="맑은 고딕"/>
          <w:color w:val="111827"/>
        </w:rPr>
        <w:t>※ 이 글은 정보 제공 목적이며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삼성전자, AI용 eSSD 'PM1763' 본격 양산…AI 서버 저장장치 경쟁에서 달라지는 점</dc:title>
  <dc:creator>NEO AI 콘텐츠 센터</dc:creator>
  <cp:lastModifiedBy>NEO AI 콘텐츠 센터</cp:lastModifiedBy>
  <dcterms:created xsi:type="dcterms:W3CDTF">2026-07-11T08:08:59Z</dcterms:created>
  <dcterms:modified xsi:type="dcterms:W3CDTF">2026-07-11T08:08:59Z</dcterms:modified>
</cp:coreProperties>
</file>