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meta 컴퓨팅, AI 인프라가 ‘비용’에서 ‘수익화’로 바뀌는 흐름</w:t>
      </w:r>
    </w:p>
    <w:p>
      <w:pPr>
        <w:pStyle w:val="MetaText"/>
      </w:pPr>
      <w:r>
        <w:rPr>
          <w:rFonts w:ascii="Malgun Gothic" w:hAnsi="Malgun Gothic" w:eastAsia="맑은 고딕"/>
          <w:color w:val="111827"/>
        </w:rPr>
        <w:t>플랫폼: 자동 선택 · 검색의도: 자동 분석 · 발행일: 2026-07-08 01:01:59</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meta 컴퓨팅을 지금 검색하는 분들이 가장 궁금해할 포인트는 “Meta가 AI 인프라에 돈을 쓰는 단계를 넘어, 그 컴퓨팅 자원을 외부에 팔 수 있느냐”입니다. 2026년 7월 8일 한국시간 기준으로 확인하면, 핵심은 AI 데이터센터·자체 AI 칩·클라우드형 컴퓨팅 사업 가능성 세 가지로 정리됩니다. 다만 일부 계획은 아직 개발 단계로 알려져 있어 확정된 서비스처럼 보기는 어렵습니다.</w:t>
      </w:r>
    </w:p>
    <w:p>
      <w:pPr>
        <w:pStyle w:val="BodyText"/>
      </w:pPr>
      <w:r>
        <w:rPr>
          <w:rFonts w:ascii="Malgun Gothic" w:hAnsi="Malgun Gothic" w:eastAsia="맑은 고딕"/>
          <w:color w:val="111827"/>
        </w:rPr>
        <w:t>왜 갑자기 meta 컴퓨팅이 주목받을까</w:t>
      </w:r>
    </w:p>
    <w:p>
      <w:pPr>
        <w:pStyle w:val="BodyText"/>
      </w:pPr>
      <w:r>
        <w:rPr>
          <w:rFonts w:ascii="Malgun Gothic" w:hAnsi="Malgun Gothic" w:eastAsia="맑은 고딕"/>
          <w:color w:val="111827"/>
        </w:rPr>
        <w:t>Meta는 페이스북, 인스타그램, 왓츠앱 같은 앱을 운영하는 회사로 익숙하지만, 최근 관심은 AI를 돌릴 수 있는 대규모 컴퓨팅 인프라로 옮겨가고 있습니다.</w:t>
      </w:r>
    </w:p>
    <w:p>
      <w:pPr>
        <w:pStyle w:val="BodyText"/>
      </w:pPr>
      <w:r>
        <w:rPr>
          <w:rFonts w:ascii="Malgun Gothic" w:hAnsi="Malgun Gothic" w:eastAsia="맑은 고딕"/>
          <w:color w:val="111827"/>
        </w:rPr>
        <w:t>AI 챗봇, 이미지·영상 생성, 추천 알고리즘, 스마트글라스 기능은 모두 막대한 연산 자원이 필요합니다. 사용자가 버튼 하나를 누르는 순간에도 데이터센터, 서버, 네트워크, 전용 칩이 함께 움직입니다. Meta도 자사 서비스와 AI 모델을 위해 AI 최적화 데이터센터를 빠르게 늘리고 있다고 설명하고 있습니다.</w:t>
      </w:r>
    </w:p>
    <w:p>
      <w:pPr>
        <w:pStyle w:val="BodyText"/>
      </w:pPr>
      <w:r>
        <w:rPr>
          <w:rFonts w:ascii="Malgun Gothic" w:hAnsi="Malgun Gothic" w:eastAsia="맑은 고딕"/>
          <w:color w:val="111827"/>
        </w:rPr>
        <w:t>페이스북</w:t>
      </w:r>
    </w:p>
    <w:p>
      <w:pPr>
        <w:pStyle w:val="BodyText"/>
      </w:pPr>
      <w:r>
        <w:rPr>
          <w:rFonts w:ascii="Malgun Gothic" w:hAnsi="Malgun Gothic" w:eastAsia="맑은 고딕"/>
          <w:color w:val="111827"/>
        </w:rPr>
        <w:t>자체 AI 칩 MTIA가 중요한 이유</w:t>
      </w:r>
    </w:p>
    <w:p>
      <w:pPr>
        <w:pStyle w:val="BodyText"/>
      </w:pPr>
      <w:r>
        <w:rPr>
          <w:rFonts w:ascii="Malgun Gothic" w:hAnsi="Malgun Gothic" w:eastAsia="맑은 고딕"/>
          <w:color w:val="111827"/>
        </w:rPr>
        <w:t>meta 컴퓨팅에서 빼놓기 어려운 부분이 MTIA입니다. MTIA는 Meta가 AI 작업을 더 효율적으로 처리하기 위해 개발한 자체 AI 가속기입니다.</w:t>
      </w:r>
    </w:p>
    <w:p>
      <w:pPr>
        <w:pStyle w:val="BodyText"/>
      </w:pPr>
      <w:r>
        <w:rPr>
          <w:rFonts w:ascii="Malgun Gothic" w:hAnsi="Malgun Gothic" w:eastAsia="맑은 고딕"/>
          <w:color w:val="111827"/>
        </w:rPr>
        <w:t>회사 발표 기준으로 MTIA 300, 400, 450, 500 세대가 공개됐고, 일부는 이미 생산 환경에 쓰이거나 2026~2027년 배포 일정이 언급됐습니다. 특히 MTIA 450과 500은 생성형 AI 추론 수요를 겨냥한 방향으로 설명됩니다. 쉽게 말해, AI가 답변을 만들어내는 순간의 처리 비용을 줄이려는 장비에 가깝습니다.</w:t>
      </w:r>
    </w:p>
    <w:p>
      <w:pPr>
        <w:pStyle w:val="BodyText"/>
      </w:pPr>
      <w:r>
        <w:rPr>
          <w:rFonts w:ascii="Malgun Gothic" w:hAnsi="Malgun Gothic" w:eastAsia="맑은 고딕"/>
          <w:color w:val="111827"/>
        </w:rPr>
        <w:t>Meta AI</w:t>
      </w:r>
    </w:p>
    <w:p>
      <w:pPr>
        <w:pStyle w:val="BodyText"/>
      </w:pPr>
      <w:r>
        <w:rPr>
          <w:rFonts w:ascii="Malgun Gothic" w:hAnsi="Malgun Gothic" w:eastAsia="맑은 고딕"/>
          <w:color w:val="111827"/>
        </w:rPr>
        <w:t>이 흐름은 단순히 “칩을 직접 만든다”는 의미보다 큽니다. 외부 GPU만 사서 쓰는 구조에서 벗어나, Meta 서비스에 맞는 연산 구조를 직접 설계하려는 움직임으로 볼 수 있습니다.</w:t>
      </w:r>
    </w:p>
    <w:p>
      <w:pPr>
        <w:pStyle w:val="BodyText"/>
      </w:pPr>
      <w:r>
        <w:rPr>
          <w:rFonts w:ascii="Malgun Gothic" w:hAnsi="Malgun Gothic" w:eastAsia="맑은 고딕"/>
          <w:color w:val="111827"/>
        </w:rPr>
        <w:t>데이터센터 투자는 계속 커지는 중</w:t>
      </w:r>
    </w:p>
    <w:p>
      <w:pPr>
        <w:pStyle w:val="BodyText"/>
      </w:pPr>
      <w:r>
        <w:rPr>
          <w:rFonts w:ascii="Malgun Gothic" w:hAnsi="Malgun Gothic" w:eastAsia="맑은 고딕"/>
          <w:color w:val="111827"/>
        </w:rPr>
        <w:t>Meta는 2026년 연간 자본지출 전망을 1,250억~1,450억 달러 범위로 제시했습니다. 이는 AI 인프라 확대와 부품 가격, 데이터센터 비용 등이 반영된 수치로 확인됩니다. 숫자가 워낙 크기 때문에 시장에서는 기대와 부담이 함께 나옵니다.</w:t>
      </w:r>
    </w:p>
    <w:p>
      <w:pPr>
        <w:pStyle w:val="BodyText"/>
      </w:pPr>
      <w:r>
        <w:rPr>
          <w:rFonts w:ascii="Malgun Gothic" w:hAnsi="Malgun Gothic" w:eastAsia="맑은 고딕"/>
          <w:color w:val="111827"/>
        </w:rPr>
        <w:t>대표적으로 미국 텍사스 엘패소 AI 데이터센터 투자 규모를 100억 달러로 늘렸고, 해당 시설은 2028년 개장을 목표로 1기가와트급 용량을 지향하는 것으로 알려졌습니다. 이 정도면 meta 컴퓨팅은 단기 유행어가 아니라, 회사 전략의 중심축에 가까워졌다고 볼 수 있습니다.</w:t>
      </w:r>
    </w:p>
    <w:p>
      <w:pPr>
        <w:pStyle w:val="BodyText"/>
      </w:pPr>
      <w:r>
        <w:rPr>
          <w:rFonts w:ascii="Malgun Gothic" w:hAnsi="Malgun Gothic" w:eastAsia="맑은 고딕"/>
          <w:color w:val="111827"/>
        </w:rPr>
        <w:t>클라우드 사업 가능성은 아직 확인 필요</w:t>
      </w:r>
    </w:p>
    <w:p>
      <w:pPr>
        <w:pStyle w:val="BodyText"/>
      </w:pPr>
      <w:r>
        <w:rPr>
          <w:rFonts w:ascii="Malgun Gothic" w:hAnsi="Malgun Gothic" w:eastAsia="맑은 고딕"/>
          <w:color w:val="111827"/>
        </w:rPr>
        <w:t>최근 관심이 커진 부분은 Meta가 남는 AI 컴퓨팅 용량을 외부에 판매하는 클라우드 사업을 검토하고 있다는 내용입니다. 현재 확인 가능한 기준으로는 계획이 개발 단계이며, 전략은 바뀔 수 있다는 점도 함께 보도됐습니다. Meta가 공식적으로 세부 상품, 가격, 출시일을 확정 발표한 단계로 보기는 어렵습니다.</w:t>
      </w:r>
    </w:p>
    <w:p>
      <w:pPr>
        <w:pStyle w:val="BodyText"/>
      </w:pPr>
      <w:r>
        <w:rPr>
          <w:rFonts w:ascii="Malgun Gothic" w:hAnsi="Malgun Gothic" w:eastAsia="맑은 고딕"/>
          <w:color w:val="111827"/>
        </w:rPr>
        <w:t>다만 방향성은 흥미롭습니다. 그동안 Meta의 핵심 수익은 광고였지만, AI 인프라를 외부 개발자나 기업에 제공한다면 수익 구조가 일부 달라질 수 있습니다. 반대로 이미 클라우드 시장에는 강한 사업자들이 있기 때문에, 실제 경쟁력이 생길지는 더 확인해야 합니다.</w:t>
      </w:r>
    </w:p>
    <w:p>
      <w:pPr>
        <w:pStyle w:val="BodyText"/>
      </w:pPr>
      <w:r>
        <w:rPr>
          <w:rFonts w:ascii="Malgun Gothic" w:hAnsi="Malgun Gothic" w:eastAsia="맑은 고딕"/>
          <w:color w:val="111827"/>
        </w:rPr>
        <w:t>투자자 관점에서 볼 때 주의할 점</w:t>
      </w:r>
    </w:p>
    <w:p>
      <w:pPr>
        <w:pStyle w:val="BodyText"/>
      </w:pPr>
      <w:r>
        <w:rPr>
          <w:rFonts w:ascii="Malgun Gothic" w:hAnsi="Malgun Gothic" w:eastAsia="맑은 고딕"/>
          <w:color w:val="111827"/>
        </w:rPr>
        <w:t>meta 컴퓨팅은 성장 기대가 큰 주제지만, 비용 부담도 큽니다. AI 데이터센터는 전력, 냉각, 반도체, 네트워크, 장기 임대와 운영비가 함께 들어갑니다. 수요가 충분히 따라오지 않으면 대규모 투자가 부담으로 돌아올 수 있습니다.</w:t>
      </w:r>
    </w:p>
    <w:p>
      <w:pPr>
        <w:pStyle w:val="BodyText"/>
      </w:pPr>
      <w:r>
        <w:rPr>
          <w:rFonts w:ascii="Malgun Gothic" w:hAnsi="Malgun Gothic" w:eastAsia="맑은 고딕"/>
          <w:color w:val="111827"/>
        </w:rPr>
        <w:t>그래서 이 키워드는 “AI 수혜주”처럼 단순하게 보기보다, Meta가 자체 서비스 개선과 외부 컴퓨팅 수익화를 얼마나 균형 있게 가져갈지 보는 것이 좋습니다. 특히 클라우드 사업은 현재 확인 가능한 범위에서 검토 또는 개발 단계로 보는 편이 안전합니다.</w:t>
      </w:r>
    </w:p>
    <w:p>
      <w:pPr>
        <w:pStyle w:val="BodyText"/>
      </w:pPr>
      <w:r>
        <w:rPr>
          <w:rFonts w:ascii="Malgun Gothic" w:hAnsi="Malgun Gothic" w:eastAsia="맑은 고딕"/>
          <w:color w:val="111827"/>
        </w:rPr>
        <w:t>자주 묻는 질문</w:t>
      </w:r>
    </w:p>
    <w:p>
      <w:pPr>
        <w:pStyle w:val="BodyText"/>
      </w:pPr>
      <w:r>
        <w:rPr>
          <w:rFonts w:ascii="Malgun Gothic" w:hAnsi="Malgun Gothic" w:eastAsia="맑은 고딕"/>
          <w:color w:val="111827"/>
        </w:rPr>
        <w:t>meta 컴퓨팅은 메타버스와 같은 뜻인가요?</w:t>
      </w:r>
    </w:p>
    <w:p>
      <w:pPr>
        <w:pStyle w:val="BodyText"/>
      </w:pPr>
      <w:r>
        <w:rPr>
          <w:rFonts w:ascii="Malgun Gothic" w:hAnsi="Malgun Gothic" w:eastAsia="맑은 고딕"/>
          <w:color w:val="111827"/>
        </w:rPr>
        <w:t>같은 의미로 보기는 어렵습니다. 여기서 말하는 meta 컴퓨팅은 주로 AI 모델을 학습·추론하는 데이터센터, 전용 칩, 클라우드형 연산 자원에 더 가깝습니다.</w:t>
      </w:r>
    </w:p>
    <w:p>
      <w:pPr>
        <w:pStyle w:val="BodyText"/>
      </w:pPr>
      <w:r>
        <w:rPr>
          <w:rFonts w:ascii="Malgun Gothic" w:hAnsi="Malgun Gothic" w:eastAsia="맑은 고딕"/>
          <w:color w:val="111827"/>
        </w:rPr>
        <w:t>Meta가 AI 클라우드를 이미 출시했나요?</w:t>
      </w:r>
    </w:p>
    <w:p>
      <w:pPr>
        <w:pStyle w:val="BodyText"/>
      </w:pPr>
      <w:r>
        <w:rPr>
          <w:rFonts w:ascii="Malgun Gothic" w:hAnsi="Malgun Gothic" w:eastAsia="맑은 고딕"/>
          <w:color w:val="111827"/>
        </w:rPr>
        <w:t>현재 확인 가능한 기준으로는 외부 판매용 AI 컴퓨팅 사업이 검토 또는 개발 단계로 알려져 있습니다. 구체적인 출시일과 가격은 공식 확인이 필요합니다.</w:t>
      </w:r>
    </w:p>
    <w:p>
      <w:pPr>
        <w:pStyle w:val="BodyText"/>
      </w:pPr>
      <w:r>
        <w:rPr>
          <w:rFonts w:ascii="Malgun Gothic" w:hAnsi="Malgun Gothic" w:eastAsia="맑은 고딕"/>
          <w:color w:val="111827"/>
        </w:rPr>
        <w:t>주가에 바로 좋은 재료인가요?</w:t>
      </w:r>
    </w:p>
    <w:p>
      <w:pPr>
        <w:pStyle w:val="NoteText"/>
        <w:shd w:val="clear" w:color="auto" w:fill="F8FAFC"/>
      </w:pPr>
      <w:r>
        <w:rPr>
          <w:rFonts w:ascii="Malgun Gothic" w:hAnsi="Malgun Gothic" w:eastAsia="맑은 고딕"/>
          <w:color w:val="111827"/>
        </w:rPr>
        <w:t>AI 인프라 수익화 기대는 긍정적으로 해석될 수 있지만, 대규모 투자 부담과 경쟁도 함께 봐야 합니다. 이 글은 투자 참고용이며, 실제 투자 판단과 책임은 본인에게 있습니다.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meta 컴퓨팅을 지금 검색하는 분들이 가장 궁금해할 포인트는 “Meta가 AI 인프라에 돈을 쓰는 단계를 넘어, 그 컴퓨팅 자원을 외부에 팔 수 있느냐”입니다. 2026년 7월 8일 한국시간 기준으로 확인하면, 핵심은 AI 데이터센터·자체 AI 칩·클라우드형 컴퓨팅</w:t>
      </w:r>
    </w:p>
    <w:p>
      <w:pPr>
        <w:pStyle w:val="Heading2"/>
      </w:pPr>
      <w:r>
        <w:rPr>
          <w:rFonts w:ascii="Malgun Gothic" w:hAnsi="Malgun Gothic" w:eastAsia="맑은 고딕"/>
          <w:color w:val="111827"/>
        </w:rPr>
        <w:t>주요 쟁점 표</w:t>
      </w:r>
    </w:p>
    <w:tbl>
      <w:tblPr>
        <w:tblBorders>
          <w:top w:val="single" w:sz="4" w:color="CBD5E1"/>
          <w:left w:val="single" w:sz="4" w:color="CBD5E1"/>
          <w:bottom w:val="single" w:sz="4" w:color="CBD5E1"/>
          <w:right w:val="single" w:sz="4" w:color="CBD5E1"/>
          <w:insideH w:val="single" w:sz="4" w:color="E2E8F0"/>
          <w:insideV w:val="single" w:sz="4" w:color="E2E8F0"/>
        </w:tblBorders>
      </w:tblPr>
      <w:tblGrid>
        <w:gridCol w:w="2400"/>
        <w:gridCol w:w="2400"/>
      </w:tblGrid>
      <w:tr>
        <w:tc>
          <w:tcPr>
            <w:tcW w:w="2400" w:type="dxa"/>
            <w:shd w:val="clear" w:fill="F1F5F9"/>
          </w:tcPr>
          <w:p>
            <w:pPr>
              <w:pStyle w:val="TableText"/>
            </w:pPr>
            <w:r>
              <w:rPr>
                <w:rFonts w:ascii="Malgun Gothic" w:hAnsi="Malgun Gothic" w:eastAsia="맑은 고딕"/>
                <w:color w:val="111827"/>
              </w:rPr>
              <w:t>항목</w:t>
            </w:r>
          </w:p>
        </w:tc>
        <w:tc>
          <w:tcPr>
            <w:tcW w:w="2400" w:type="dxa"/>
            <w:shd w:val="clear" w:fill="F1F5F9"/>
          </w:tcPr>
          <w:p>
            <w:pPr>
              <w:pStyle w:val="TableText"/>
            </w:pPr>
            <w:r>
              <w:rPr>
                <w:rFonts w:ascii="Malgun Gothic" w:hAnsi="Malgun Gothic" w:eastAsia="맑은 고딕"/>
                <w:color w:val="111827"/>
              </w:rPr>
              <w:t>내용</w:t>
            </w:r>
          </w:p>
        </w:tc>
      </w:tr>
      <w:tr>
        <w:tc>
          <w:tcPr>
            <w:tcW w:w="2400" w:type="dxa"/>
          </w:tcPr>
          <w:p>
            <w:pPr>
              <w:pStyle w:val="TableText"/>
            </w:pPr>
            <w:r>
              <w:rPr>
                <w:rFonts w:ascii="Malgun Gothic" w:hAnsi="Malgun Gothic" w:eastAsia="맑은 고딕"/>
                <w:color w:val="111827"/>
              </w:rPr>
              <w:t>핵심 이슈</w:t>
            </w:r>
          </w:p>
        </w:tc>
        <w:tc>
          <w:tcPr>
            <w:tcW w:w="2400" w:type="dxa"/>
          </w:tcPr>
          <w:p>
            <w:pPr>
              <w:pStyle w:val="TableText"/>
            </w:pPr>
            <w:r>
              <w:rPr>
                <w:rFonts w:ascii="Malgun Gothic" w:hAnsi="Malgun Gothic" w:eastAsia="맑은 고딕"/>
                <w:color w:val="111827"/>
              </w:rPr>
              <w:t>기사 본문에서 가장 중요한 변화와 배경</w:t>
            </w:r>
          </w:p>
        </w:tc>
      </w:tr>
      <w:tr>
        <w:tc>
          <w:tcPr>
            <w:tcW w:w="2400" w:type="dxa"/>
          </w:tcPr>
          <w:p>
            <w:pPr>
              <w:pStyle w:val="TableText"/>
            </w:pPr>
            <w:r>
              <w:rPr>
                <w:rFonts w:ascii="Malgun Gothic" w:hAnsi="Malgun Gothic" w:eastAsia="맑은 고딕"/>
                <w:color w:val="111827"/>
              </w:rPr>
              <w:t>영향 범위</w:t>
            </w:r>
          </w:p>
        </w:tc>
        <w:tc>
          <w:tcPr>
            <w:tcW w:w="2400" w:type="dxa"/>
          </w:tcPr>
          <w:p>
            <w:pPr>
              <w:pStyle w:val="TableText"/>
            </w:pPr>
            <w:r>
              <w:rPr>
                <w:rFonts w:ascii="Malgun Gothic" w:hAnsi="Malgun Gothic" w:eastAsia="맑은 고딕"/>
                <w:color w:val="111827"/>
              </w:rPr>
              <w:t>시장, 산업, 정책, 투자 심리에 미칠 수 있는 영향</w:t>
            </w:r>
          </w:p>
        </w:tc>
      </w:tr>
      <w:tr>
        <w:tc>
          <w:tcPr>
            <w:tcW w:w="2400" w:type="dxa"/>
          </w:tcPr>
          <w:p>
            <w:pPr>
              <w:pStyle w:val="TableText"/>
            </w:pPr>
            <w:r>
              <w:rPr>
                <w:rFonts w:ascii="Malgun Gothic" w:hAnsi="Malgun Gothic" w:eastAsia="맑은 고딕"/>
                <w:color w:val="111827"/>
              </w:rPr>
              <w:t>확인 포인트</w:t>
            </w:r>
          </w:p>
        </w:tc>
        <w:tc>
          <w:tcPr>
            <w:tcW w:w="2400" w:type="dxa"/>
          </w:tcPr>
          <w:p>
            <w:pPr>
              <w:pStyle w:val="TableText"/>
            </w:pPr>
            <w:r>
              <w:rPr>
                <w:rFonts w:ascii="Malgun Gothic" w:hAnsi="Malgun Gothic" w:eastAsia="맑은 고딕"/>
                <w:color w:val="111827"/>
              </w:rPr>
              <w:t>후속 발표, 실적, 규제, 가격 흐름 등 추가로 볼 지점</w:t>
            </w:r>
          </w:p>
        </w:tc>
      </w:tr>
    </w:tbl>
    <w:p>
      <w:pPr>
        <w:pStyle w:val="Heading2"/>
      </w:pPr>
      <w:r>
        <w:rPr>
          <w:rFonts w:ascii="Malgun Gothic" w:hAnsi="Malgun Gothic" w:eastAsia="맑은 고딕"/>
          <w:color w:val="111827"/>
        </w:rPr>
        <w:t>시장 영향 체크</w:t>
      </w:r>
    </w:p>
    <w:tbl>
      <w:tblPr>
        <w:tblBorders>
          <w:top w:val="single" w:sz="4" w:color="CBD5E1"/>
          <w:left w:val="single" w:sz="4" w:color="CBD5E1"/>
          <w:bottom w:val="single" w:sz="4" w:color="CBD5E1"/>
          <w:right w:val="single" w:sz="4" w:color="CBD5E1"/>
          <w:insideH w:val="single" w:sz="4" w:color="E2E8F0"/>
          <w:insideV w:val="single" w:sz="4" w:color="E2E8F0"/>
        </w:tblBorders>
      </w:tblPr>
      <w:tblGrid>
        <w:gridCol w:w="2400"/>
        <w:gridCol w:w="2400"/>
      </w:tblGrid>
      <w:tr>
        <w:tc>
          <w:tcPr>
            <w:tcW w:w="2400" w:type="dxa"/>
            <w:shd w:val="clear" w:fill="F1F5F9"/>
          </w:tcPr>
          <w:p>
            <w:pPr>
              <w:pStyle w:val="TableText"/>
            </w:pPr>
            <w:r>
              <w:rPr>
                <w:rFonts w:ascii="Malgun Gothic" w:hAnsi="Malgun Gothic" w:eastAsia="맑은 고딕"/>
                <w:color w:val="111827"/>
              </w:rPr>
              <w:t>구분</w:t>
            </w:r>
          </w:p>
        </w:tc>
        <w:tc>
          <w:tcPr>
            <w:tcW w:w="2400" w:type="dxa"/>
            <w:shd w:val="clear" w:fill="F1F5F9"/>
          </w:tcPr>
          <w:p>
            <w:pPr>
              <w:pStyle w:val="TableText"/>
            </w:pPr>
            <w:r>
              <w:rPr>
                <w:rFonts w:ascii="Malgun Gothic" w:hAnsi="Malgun Gothic" w:eastAsia="맑은 고딕"/>
                <w:color w:val="111827"/>
              </w:rPr>
              <w:t>점검 내용</w:t>
            </w:r>
          </w:p>
        </w:tc>
      </w:tr>
      <w:tr>
        <w:tc>
          <w:tcPr>
            <w:tcW w:w="2400" w:type="dxa"/>
          </w:tcPr>
          <w:p>
            <w:pPr>
              <w:pStyle w:val="TableText"/>
            </w:pPr>
            <w:r>
              <w:rPr>
                <w:rFonts w:ascii="Malgun Gothic" w:hAnsi="Malgun Gothic" w:eastAsia="맑은 고딕"/>
                <w:color w:val="111827"/>
              </w:rPr>
              <w:t>단기 흐름</w:t>
            </w:r>
          </w:p>
        </w:tc>
        <w:tc>
          <w:tcPr>
            <w:tcW w:w="2400" w:type="dxa"/>
          </w:tcPr>
          <w:p>
            <w:pPr>
              <w:pStyle w:val="TableText"/>
            </w:pPr>
            <w:r>
              <w:rPr>
                <w:rFonts w:ascii="Malgun Gothic" w:hAnsi="Malgun Gothic" w:eastAsia="맑은 고딕"/>
                <w:color w:val="111827"/>
              </w:rPr>
              <w:t>뉴스 직후 반응과 변동성 확대 여부</w:t>
            </w:r>
          </w:p>
        </w:tc>
      </w:tr>
      <w:tr>
        <w:tc>
          <w:tcPr>
            <w:tcW w:w="2400" w:type="dxa"/>
          </w:tcPr>
          <w:p>
            <w:pPr>
              <w:pStyle w:val="TableText"/>
            </w:pPr>
            <w:r>
              <w:rPr>
                <w:rFonts w:ascii="Malgun Gothic" w:hAnsi="Malgun Gothic" w:eastAsia="맑은 고딕"/>
                <w:color w:val="111827"/>
              </w:rPr>
              <w:t>중기 흐름</w:t>
            </w:r>
          </w:p>
        </w:tc>
        <w:tc>
          <w:tcPr>
            <w:tcW w:w="2400" w:type="dxa"/>
          </w:tcPr>
          <w:p>
            <w:pPr>
              <w:pStyle w:val="TableText"/>
            </w:pPr>
            <w:r>
              <w:rPr>
                <w:rFonts w:ascii="Malgun Gothic" w:hAnsi="Malgun Gothic" w:eastAsia="맑은 고딕"/>
                <w:color w:val="111827"/>
              </w:rPr>
              <w:t>산업 구조, 기업 실적, 정책 방향과의 연결성</w:t>
            </w:r>
          </w:p>
        </w:tc>
      </w:tr>
      <w:tr>
        <w:tc>
          <w:tcPr>
            <w:tcW w:w="2400" w:type="dxa"/>
          </w:tcPr>
          <w:p>
            <w:pPr>
              <w:pStyle w:val="TableText"/>
            </w:pPr>
            <w:r>
              <w:rPr>
                <w:rFonts w:ascii="Malgun Gothic" w:hAnsi="Malgun Gothic" w:eastAsia="맑은 고딕"/>
                <w:color w:val="111827"/>
              </w:rPr>
              <w:t>리스크</w:t>
            </w:r>
          </w:p>
        </w:tc>
        <w:tc>
          <w:tcPr>
            <w:tcW w:w="2400" w:type="dxa"/>
          </w:tcPr>
          <w:p>
            <w:pPr>
              <w:pStyle w:val="TableText"/>
            </w:pPr>
            <w:r>
              <w:rPr>
                <w:rFonts w:ascii="Malgun Gothic" w:hAnsi="Malgun Gothic" w:eastAsia="맑은 고딕"/>
                <w:color w:val="111827"/>
              </w:rPr>
              <w:t>과도한 기대, 정보 불확실성, 외부 변수 가능성</w:t>
            </w:r>
          </w:p>
        </w:tc>
      </w:tr>
    </w:tbl>
    <w:p>
      <w:pPr>
        <w:pStyle w:val="Heading2"/>
      </w:pPr>
      <w:r>
        <w:rPr>
          <w:rFonts w:ascii="Malgun Gothic" w:hAnsi="Malgun Gothic" w:eastAsia="맑은 고딕"/>
          <w:color w:val="111827"/>
        </w:rPr>
        <w:t>투자자가 볼 부분</w:t>
      </w:r>
    </w:p>
    <w:tbl>
      <w:tblPr>
        <w:tblBorders>
          <w:top w:val="single" w:sz="4" w:color="CBD5E1"/>
          <w:left w:val="single" w:sz="4" w:color="CBD5E1"/>
          <w:bottom w:val="single" w:sz="4" w:color="CBD5E1"/>
          <w:right w:val="single" w:sz="4" w:color="CBD5E1"/>
          <w:insideH w:val="single" w:sz="4" w:color="E2E8F0"/>
          <w:insideV w:val="single" w:sz="4" w:color="E2E8F0"/>
        </w:tblBorders>
      </w:tblPr>
      <w:tblGrid>
        <w:gridCol w:w="2400"/>
        <w:gridCol w:w="2400"/>
      </w:tblGrid>
      <w:tr>
        <w:tc>
          <w:tcPr>
            <w:tcW w:w="2400" w:type="dxa"/>
            <w:shd w:val="clear" w:fill="F1F5F9"/>
          </w:tcPr>
          <w:p>
            <w:pPr>
              <w:pStyle w:val="TableText"/>
            </w:pPr>
            <w:r>
              <w:rPr>
                <w:rFonts w:ascii="Malgun Gothic" w:hAnsi="Malgun Gothic" w:eastAsia="맑은 고딕"/>
                <w:color w:val="111827"/>
              </w:rPr>
              <w:t>관점</w:t>
            </w:r>
          </w:p>
        </w:tc>
        <w:tc>
          <w:tcPr>
            <w:tcW w:w="2400" w:type="dxa"/>
            <w:shd w:val="clear" w:fill="F1F5F9"/>
          </w:tcPr>
          <w:p>
            <w:pPr>
              <w:pStyle w:val="TableText"/>
            </w:pPr>
            <w:r>
              <w:rPr>
                <w:rFonts w:ascii="Malgun Gothic" w:hAnsi="Malgun Gothic" w:eastAsia="맑은 고딕"/>
                <w:color w:val="111827"/>
              </w:rPr>
              <w:t>해석</w:t>
            </w:r>
          </w:p>
        </w:tc>
      </w:tr>
      <w:tr>
        <w:tc>
          <w:tcPr>
            <w:tcW w:w="2400" w:type="dxa"/>
          </w:tcPr>
          <w:p>
            <w:pPr>
              <w:pStyle w:val="TableText"/>
            </w:pPr>
            <w:r>
              <w:rPr>
                <w:rFonts w:ascii="Malgun Gothic" w:hAnsi="Malgun Gothic" w:eastAsia="맑은 고딕"/>
                <w:color w:val="111827"/>
              </w:rPr>
              <w:t>긍정 요인</w:t>
            </w:r>
          </w:p>
        </w:tc>
        <w:tc>
          <w:tcPr>
            <w:tcW w:w="2400" w:type="dxa"/>
          </w:tcPr>
          <w:p>
            <w:pPr>
              <w:pStyle w:val="TableText"/>
            </w:pPr>
            <w:r>
              <w:rPr>
                <w:rFonts w:ascii="Malgun Gothic" w:hAnsi="Malgun Gothic" w:eastAsia="맑은 고딕"/>
                <w:color w:val="111827"/>
              </w:rPr>
              <w:t>성장성, 수요, 정책 지원, 기술 진전 가능성</w:t>
            </w:r>
          </w:p>
        </w:tc>
      </w:tr>
      <w:tr>
        <w:tc>
          <w:tcPr>
            <w:tcW w:w="2400" w:type="dxa"/>
          </w:tcPr>
          <w:p>
            <w:pPr>
              <w:pStyle w:val="TableText"/>
            </w:pPr>
            <w:r>
              <w:rPr>
                <w:rFonts w:ascii="Malgun Gothic" w:hAnsi="Malgun Gothic" w:eastAsia="맑은 고딕"/>
                <w:color w:val="111827"/>
              </w:rPr>
              <w:t>부담 요인</w:t>
            </w:r>
          </w:p>
        </w:tc>
        <w:tc>
          <w:tcPr>
            <w:tcW w:w="2400" w:type="dxa"/>
          </w:tcPr>
          <w:p>
            <w:pPr>
              <w:pStyle w:val="TableText"/>
            </w:pPr>
            <w:r>
              <w:rPr>
                <w:rFonts w:ascii="Malgun Gothic" w:hAnsi="Malgun Gothic" w:eastAsia="맑은 고딕"/>
                <w:color w:val="111827"/>
              </w:rPr>
              <w:t>비용, 경쟁, 규제, 금리 및 환율 변화</w:t>
            </w:r>
          </w:p>
        </w:tc>
      </w:tr>
      <w:tr>
        <w:tc>
          <w:tcPr>
            <w:tcW w:w="2400" w:type="dxa"/>
          </w:tcPr>
          <w:p>
            <w:pPr>
              <w:pStyle w:val="TableText"/>
            </w:pPr>
            <w:r>
              <w:rPr>
                <w:rFonts w:ascii="Malgun Gothic" w:hAnsi="Malgun Gothic" w:eastAsia="맑은 고딕"/>
                <w:color w:val="111827"/>
              </w:rPr>
              <w:t>확인 자료</w:t>
            </w:r>
          </w:p>
        </w:tc>
        <w:tc>
          <w:tcPr>
            <w:tcW w:w="2400" w:type="dxa"/>
          </w:tcPr>
          <w:p>
            <w:pPr>
              <w:pStyle w:val="TableText"/>
            </w:pPr>
            <w:r>
              <w:rPr>
                <w:rFonts w:ascii="Malgun Gothic" w:hAnsi="Malgun Gothic" w:eastAsia="맑은 고딕"/>
                <w:color w:val="111827"/>
              </w:rPr>
              <w:t>공식 발표, 실적 자료, 시장 데이터, 후속 보도</w:t>
            </w:r>
          </w:p>
        </w:tc>
      </w:tr>
    </w:tbl>
    <w:p>
      <w:pPr>
        <w:pStyle w:val="Heading2"/>
      </w:pPr>
      <w:r>
        <w:rPr>
          <w:rFonts w:ascii="Malgun Gothic" w:hAnsi="Malgun Gothic" w:eastAsia="맑은 고딕"/>
          <w:color w:val="111827"/>
        </w:rPr>
        <w:t>검색 유입 키워드</w:t>
      </w:r>
    </w:p>
    <w:p>
      <w:pPr>
        <w:pStyle w:val="BodyText"/>
      </w:pPr>
      <w:r>
        <w:rPr>
          <w:rFonts w:ascii="Malgun Gothic" w:hAnsi="Malgun Gothic" w:eastAsia="맑은 고딕"/>
          <w:color w:val="111827"/>
        </w:rPr>
        <w:t>이 글은 키워드블로그, 해외뉴스, 경제뉴스, 미국주식, AI뉴스, IT뉴스, 반도체, 비트코인 키워드를 중심으로 정리했습니다. 관련 이슈를 검색하는 방문자가 핵심 배경, 영향, 확인 포인트를 빠르게 파악할 수 있도록 구성했습니다.</w:t>
      </w:r>
    </w:p>
    <w:p>
      <w:pPr>
        <w:pStyle w:val="Heading2"/>
      </w:pPr>
      <w:r>
        <w:rPr>
          <w:rFonts w:ascii="Malgun Gothic" w:hAnsi="Malgun Gothic" w:eastAsia="맑은 고딕"/>
          <w:color w:val="111827"/>
        </w:rPr>
        <w:t>FAQ</w:t>
      </w:r>
    </w:p>
    <w:p>
      <w:pPr>
        <w:pStyle w:val="Heading3"/>
      </w:pPr>
      <w:r>
        <w:rPr>
          <w:rFonts w:ascii="Malgun Gothic" w:hAnsi="Malgun Gothic" w:eastAsia="맑은 고딕"/>
          <w:color w:val="111827"/>
        </w:rPr>
        <w:t>Q1. 키워드블로그 이슈에서 가장 먼저 볼 점은 무엇인가요?</w:t>
      </w:r>
    </w:p>
    <w:p>
      <w:pPr>
        <w:pStyle w:val="BodyText"/>
      </w:pPr>
      <w:r>
        <w:rPr>
          <w:rFonts w:ascii="Malgun Gothic" w:hAnsi="Malgun Gothic" w:eastAsia="맑은 고딕"/>
          <w:color w:val="111827"/>
        </w:rPr>
        <w:t>본문의 핵심 요약과 주요 쟁점 표를 먼저 보면 전체 흐름을 빠르게 이해할 수 있습니다.</w:t>
      </w:r>
    </w:p>
    <w:p>
      <w:pPr>
        <w:pStyle w:val="Heading3"/>
      </w:pPr>
      <w:r>
        <w:rPr>
          <w:rFonts w:ascii="Malgun Gothic" w:hAnsi="Malgun Gothic" w:eastAsia="맑은 고딕"/>
          <w:color w:val="111827"/>
        </w:rPr>
        <w:t>Q2. 이 내용은 투자 판단에 바로 사용해도 되나요?</w:t>
      </w:r>
    </w:p>
    <w:p>
      <w:pPr>
        <w:pStyle w:val="NoteText"/>
        <w:shd w:val="clear" w:color="auto" w:fill="F8FAFC"/>
      </w:pPr>
      <w:r>
        <w:rPr>
          <w:rFonts w:ascii="Malgun Gothic" w:hAnsi="Malgun Gothic" w:eastAsia="맑은 고딕"/>
          <w:color w:val="111827"/>
        </w:rPr>
        <w:t>아닙니다. 이 글은 정보 제공 목적이며, 투자 판단은 추가 자료 확인과 본인 책임으로 진행해야 합니다.</w:t>
      </w:r>
    </w:p>
    <w:p>
      <w:pPr>
        <w:pStyle w:val="NoteText"/>
        <w:shd w:val="clear" w:color="auto" w:fill="F8FAFC"/>
      </w:pPr>
      <w:r>
        <w:rPr>
          <w:rFonts w:ascii="Malgun Gothic" w:hAnsi="Malgun Gothic" w:eastAsia="맑은 고딕"/>
          <w:color w:val="111827"/>
        </w:rPr>
        <w:t>※ 이 글은 정보 제공 목적이며 특정 종목이나 자산에 대한 투자 권유가 아닙니다. 최종 판단과 투자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 컴퓨팅, AI 인프라가 ‘비용’에서 ‘수익화’로 바뀌는 흐름</dc:title>
  <dc:creator>NEO AI 콘텐츠 센터</dc:creator>
  <cp:lastModifiedBy>NEO AI 콘텐츠 센터</cp:lastModifiedBy>
  <dcterms:created xsi:type="dcterms:W3CDTF">2026-07-11T08:09:36Z</dcterms:created>
  <dcterms:modified xsi:type="dcterms:W3CDTF">2026-07-11T08:09:36Z</dcterms:modified>
</cp:coreProperties>
</file>