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Title"/>
      </w:pPr>
      <w:r>
        <w:rPr>
          <w:rFonts w:ascii="Malgun Gothic" w:hAnsi="Malgun Gothic" w:eastAsia="맑은 고딕"/>
          <w:color w:val="111827"/>
        </w:rPr>
        <w:t>AI 반도체 랠리 재점화, 미국 증시가 다시 흔들리는 이유</w:t>
      </w:r>
    </w:p>
    <w:p>
      <w:pPr>
        <w:pStyle w:val="MetaText"/>
      </w:pPr>
      <w:r>
        <w:rPr>
          <w:rFonts w:ascii="Malgun Gothic" w:hAnsi="Malgun Gothic" w:eastAsia="맑은 고딕"/>
          <w:color w:val="111827"/>
        </w:rPr>
        <w:t>플랫폼: 자동 선택 · 검색의도: 자동 분석 · 발행일: 2026-07-07 09:23:06</w:t>
      </w:r>
    </w:p>
    <w:p>
      <w:pPr>
        <w:pStyle w:val="Heading2"/>
      </w:pPr>
      <w:r>
        <w:rPr>
          <w:rFonts w:ascii="Malgun Gothic" w:hAnsi="Malgun Gothic" w:eastAsia="맑은 고딕"/>
          <w:color w:val="111827"/>
        </w:rPr>
        <w:t>복사용 본문</w:t>
      </w:r>
    </w:p>
    <w:p>
      <w:pPr>
        <w:pStyle w:val="BodyText"/>
        <w:shd w:val="clear" w:color="auto" w:fill="EFF6FF"/>
        <w:pBdr>
          <w:left w:val="single" w:sz="16" w:space="8" w:color="2563EB"/>
        </w:pBdr>
        <w:spacing w:before="120" w:after="160"/>
      </w:pPr>
      <w:r>
        <w:rPr>
          <w:rFonts w:ascii="Malgun Gothic" w:hAnsi="Malgun Gothic" w:eastAsia="맑은 고딕"/>
          <w:color w:val="111827"/>
        </w:rPr>
        <w:t>2026년 7월 7일 한국시간 기준으로 해외 경제·미국주식·AI·IT 뉴스에서 가장 눈에 띄는 흐름은 AI 반도체주 반등입니다. 최근 조정받던 반도체와 AI 인프라 관련 종목이 다시 오르면서 나스닥과 S&amp;P500 상승을 이끌었지만, 시장 전체가 고르게 오른 것은 아니라는 점이 핵심입니다.</w:t>
      </w:r>
    </w:p>
    <w:p>
      <w:pPr>
        <w:pStyle w:val="BodyText"/>
      </w:pPr>
      <w:r>
        <w:rPr>
          <w:rFonts w:ascii="Malgun Gothic" w:hAnsi="Malgun Gothic" w:eastAsia="맑은 고딕"/>
          <w:color w:val="111827"/>
        </w:rPr>
        <w:t>다시 살아난 AI 반도체 기대감</w:t>
      </w:r>
    </w:p>
    <w:p>
      <w:pPr>
        <w:pStyle w:val="BodyText"/>
      </w:pPr>
      <w:r>
        <w:rPr>
          <w:rFonts w:ascii="Malgun Gothic" w:hAnsi="Malgun Gothic" w:eastAsia="맑은 고딕"/>
          <w:color w:val="111827"/>
        </w:rPr>
        <w:t>미국 증시는 7월 6일 현지시간 기준으로 기술주 중심의 반등을 보였습니다. S&amp;P500은 0.72%, 나스닥은 1.12%, 다우지수는 0.29% 올랐고, 특히 반도체주가 시장 분위기를 끌어올렸습니다.</w:t>
      </w:r>
    </w:p>
    <w:p>
      <w:pPr>
        <w:pStyle w:val="BodyText"/>
      </w:pPr>
      <w:r>
        <w:rPr>
          <w:rFonts w:ascii="Malgun Gothic" w:hAnsi="Malgun Gothic" w:eastAsia="맑은 고딕"/>
          <w:color w:val="111827"/>
        </w:rPr>
        <w:t>눈에 띈 종목은 브로드컴입니다. 애플과의 장기 칩 공급 계약 연장 소식이 전해지면서 주가가 3%대 상승했고, 이 흐름이 AI 반도체 투자심리를 다시 자극했습니다. 단순히 한 종목의 호재라기보다 “AI 인프라 투자가 계속된다”는 신호로 해석된 점이 중요합니다.</w:t>
      </w:r>
    </w:p>
    <w:p>
      <w:pPr>
        <w:pStyle w:val="BodyText"/>
      </w:pPr>
      <w:r>
        <w:rPr>
          <w:rFonts w:ascii="Malgun Gothic" w:hAnsi="Malgun Gothic" w:eastAsia="맑은 고딕"/>
          <w:color w:val="111827"/>
        </w:rPr>
        <w:t>그런데 시장 전체가 강한 건 아니다</w:t>
      </w:r>
    </w:p>
    <w:p>
      <w:pPr>
        <w:pStyle w:val="BodyText"/>
      </w:pPr>
      <w:r>
        <w:rPr>
          <w:rFonts w:ascii="Malgun Gothic" w:hAnsi="Malgun Gothic" w:eastAsia="맑은 고딕"/>
          <w:color w:val="111827"/>
        </w:rPr>
        <w:t>겉으로 보면 미국 증시가 다시 강해 보이지만, 세부적으로는 조금 다릅니다. S&amp;P500 안에서는 오히려 하락한 종목이 더 많았다는 점이 확인됩니다. 즉, 시장 전체가 같이 오르는 장세라기보다 AI·반도체·대형 기술주가 지수를 밀어 올린 흐름에 가깝습니다.</w:t>
      </w:r>
    </w:p>
    <w:p>
      <w:pPr>
        <w:pStyle w:val="BodyText"/>
      </w:pPr>
      <w:r>
        <w:rPr>
          <w:rFonts w:ascii="Malgun Gothic" w:hAnsi="Malgun Gothic" w:eastAsia="맑은 고딕"/>
          <w:color w:val="111827"/>
        </w:rPr>
        <w:t>이런 장에서는 지수만 보고 “미국 주식이 전부 좋다”고 판단하기 어렵습니다. 특히 AI 관련 종목은 기대감이 큰 만큼 실적 확인 전까지 변동성이 커질 수 있습니다. 실제로 투자자들은 AI 칩과 데이터센터에 들어가는 막대한 비용이 언제 수익으로 이어질지 계속 확인하고 있습니다.</w:t>
      </w:r>
    </w:p>
    <w:p>
      <w:pPr>
        <w:pStyle w:val="BodyText"/>
      </w:pPr>
      <w:r>
        <w:rPr>
          <w:rFonts w:ascii="Malgun Gothic" w:hAnsi="Malgun Gothic" w:eastAsia="맑은 고딕"/>
          <w:color w:val="111827"/>
        </w:rPr>
        <w:t>헤지펀드는 반도체를 줄였다</w:t>
      </w:r>
    </w:p>
    <w:p>
      <w:pPr>
        <w:pStyle w:val="BodyText"/>
      </w:pPr>
      <w:r>
        <w:rPr>
          <w:rFonts w:ascii="Malgun Gothic" w:hAnsi="Malgun Gothic" w:eastAsia="맑은 고딕"/>
          <w:color w:val="111827"/>
        </w:rPr>
        <w:t>흥미로운 점은 반등이 나왔지만, 전문 투자자들이 모두 같은 방향을 보는 것은 아니라는 점입니다. 최근 헤지펀드들은 반도체를 포함한 기술 하드웨어 주식을 4주 연속 줄인 것으로 전해졌습니다. 이는 단기 차익 실현과 AI 투자 비용 부담에 대한 경계가 함께 반영된 움직임으로 볼 수 있습니다.</w:t>
      </w:r>
    </w:p>
    <w:p>
      <w:pPr>
        <w:pStyle w:val="BodyText"/>
      </w:pPr>
      <w:r>
        <w:rPr>
          <w:rFonts w:ascii="Malgun Gothic" w:hAnsi="Malgun Gothic" w:eastAsia="맑은 고딕"/>
          <w:color w:val="111827"/>
        </w:rPr>
        <w:t>쉽게 말하면, 개인 투자자 입장에서는 “AI가 좋다”와 “이미 많이 올랐다”는 두 가지 생각을 동시에 해야 하는 구간입니다. 좋은 산업이라고 해서 주가가 쉬지 않고 오르는 것은 아니고, 기대가 클수록 실적 발표나 금리 전망에 더 민감하게 반응할 수 있습니다.</w:t>
      </w:r>
    </w:p>
    <w:p>
      <w:pPr>
        <w:pStyle w:val="BodyText"/>
      </w:pPr>
      <w:r>
        <w:rPr>
          <w:rFonts w:ascii="Malgun Gothic" w:hAnsi="Malgun Gothic" w:eastAsia="맑은 고딕"/>
          <w:color w:val="111827"/>
        </w:rPr>
        <w:t>이번 주 봐야 할 포인트</w:t>
      </w:r>
    </w:p>
    <w:p>
      <w:pPr>
        <w:pStyle w:val="BodyText"/>
      </w:pPr>
      <w:r>
        <w:rPr>
          <w:rFonts w:ascii="Malgun Gothic" w:hAnsi="Malgun Gothic" w:eastAsia="맑은 고딕"/>
          <w:color w:val="111827"/>
        </w:rPr>
        <w:t>지금 시장이 주목하는 것은 AI 관련 기업들의 실적과 향후 투자 계획입니다. 데이터센터, 고성능 메모리, 전력 인프라, 클라우드 지출이 계속 늘어날 수 있는지가 핵심입니다. 여기에 미국 금리 전망도 변수입니다. 금리가 높게 유지되면 성장주 밸류에이션에는 부담이 될 수 있기 때문입니다.</w:t>
      </w:r>
    </w:p>
    <w:p>
      <w:pPr>
        <w:pStyle w:val="BodyText"/>
      </w:pPr>
      <w:r>
        <w:rPr>
          <w:rFonts w:ascii="Malgun Gothic" w:hAnsi="Malgun Gothic" w:eastAsia="맑은 고딕"/>
          <w:color w:val="111827"/>
        </w:rPr>
        <w:t>반대로 금리 부담이 완화되고 기업들이 AI 투자에서 실제 매출 성장을 보여준다면, AI 반도체주는 다시 시장의 중심에 설 가능성이 있습니다. 다만 현재 확인 가능한 정보만 보면 기대와 경계가 함께 움직이는 장세에 가깝습니다.</w:t>
      </w:r>
    </w:p>
    <w:p>
      <w:pPr>
        <w:pStyle w:val="BodyText"/>
      </w:pPr>
      <w:r>
        <w:rPr>
          <w:rFonts w:ascii="Malgun Gothic" w:hAnsi="Malgun Gothic" w:eastAsia="맑은 고딕"/>
          <w:color w:val="111827"/>
        </w:rPr>
        <w:t>개인 투자자는 어떻게 볼까</w:t>
      </w:r>
    </w:p>
    <w:p>
      <w:pPr>
        <w:pStyle w:val="BodyText"/>
      </w:pPr>
      <w:r>
        <w:rPr>
          <w:rFonts w:ascii="Malgun Gothic" w:hAnsi="Malgun Gothic" w:eastAsia="맑은 고딕"/>
          <w:color w:val="111827"/>
        </w:rPr>
        <w:t>지금은 “AI 반도체가 다시 오른다”는 제목만 보고 따라가기보다, 어떤 기업이 실제 수요를 확보하고 있는지 보는 것이 좋습니다. 공급 계약, 데이터센터 투자, 실적 전망, 마진 흐름을 함께 확인해야 합니다.</w:t>
      </w:r>
    </w:p>
    <w:p>
      <w:pPr>
        <w:pStyle w:val="BodyText"/>
      </w:pPr>
      <w:r>
        <w:rPr>
          <w:rFonts w:ascii="Malgun Gothic" w:hAnsi="Malgun Gothic" w:eastAsia="맑은 고딕"/>
          <w:color w:val="111827"/>
        </w:rPr>
        <w:t>또 하나는 분산입니다. AI 반도체주는 성장성이 크지만 변동성도 큽니다. 이미 많이 오른 종목은 작은 악재에도 크게 흔들릴 수 있습니다. 그래서 단기 뉴스보다 실적 발표와 기업의 가이던스를 기준으로 보는 접근이 더 현실적입니다.</w:t>
      </w:r>
    </w:p>
    <w:p>
      <w:pPr>
        <w:pStyle w:val="BodyText"/>
      </w:pPr>
      <w:r>
        <w:rPr>
          <w:rFonts w:ascii="Malgun Gothic" w:hAnsi="Malgun Gothic" w:eastAsia="맑은 고딕"/>
          <w:color w:val="111827"/>
        </w:rPr>
        <w:t>자주 묻는 질문</w:t>
      </w:r>
    </w:p>
    <w:p>
      <w:pPr>
        <w:pStyle w:val="BodyText"/>
      </w:pPr>
      <w:r>
        <w:rPr>
          <w:rFonts w:ascii="Malgun Gothic" w:hAnsi="Malgun Gothic" w:eastAsia="맑은 고딕"/>
          <w:color w:val="111827"/>
        </w:rPr>
        <w:t>AI 반도체주는 다시 상승장이 시작된 걸까요?</w:t>
      </w:r>
    </w:p>
    <w:p>
      <w:pPr>
        <w:pStyle w:val="BodyText"/>
      </w:pPr>
      <w:r>
        <w:rPr>
          <w:rFonts w:ascii="Malgun Gothic" w:hAnsi="Malgun Gothic" w:eastAsia="맑은 고딕"/>
          <w:color w:val="111827"/>
        </w:rPr>
        <w:t>현재는 반등 신호가 나온 상황에 가깝습니다. 다만 시장 전체가 고르게 오른 것이 아니어서 추세 확인은 더 필요합니다.</w:t>
      </w:r>
    </w:p>
    <w:p>
      <w:pPr>
        <w:pStyle w:val="BodyText"/>
      </w:pPr>
      <w:r>
        <w:rPr>
          <w:rFonts w:ascii="Malgun Gothic" w:hAnsi="Malgun Gothic" w:eastAsia="맑은 고딕"/>
          <w:color w:val="111827"/>
        </w:rPr>
        <w:t>미국 주식 투자자는 지금 무엇을 봐야 하나요?</w:t>
      </w:r>
    </w:p>
    <w:p>
      <w:pPr>
        <w:pStyle w:val="BodyText"/>
      </w:pPr>
      <w:r>
        <w:rPr>
          <w:rFonts w:ascii="Malgun Gothic" w:hAnsi="Malgun Gothic" w:eastAsia="맑은 고딕"/>
          <w:color w:val="111827"/>
        </w:rPr>
        <w:t>AI 관련 기업의 실적, 데이터센터 투자 규모, 금리 전망, 반도체 수요 지속 여부를 함께 보는 것이 좋습니다.</w:t>
      </w:r>
    </w:p>
    <w:p>
      <w:pPr>
        <w:pStyle w:val="BodyText"/>
      </w:pPr>
      <w:r>
        <w:rPr>
          <w:rFonts w:ascii="Malgun Gothic" w:hAnsi="Malgun Gothic" w:eastAsia="맑은 고딕"/>
          <w:color w:val="111827"/>
        </w:rPr>
        <w:t>비트코인보다 AI 주식이 더 유리한가요?</w:t>
      </w:r>
    </w:p>
    <w:p>
      <w:pPr>
        <w:pStyle w:val="BodyText"/>
      </w:pPr>
      <w:r>
        <w:rPr>
          <w:rFonts w:ascii="Malgun Gothic" w:hAnsi="Malgun Gothic" w:eastAsia="맑은 고딕"/>
          <w:color w:val="111827"/>
        </w:rPr>
        <w:t>두 자산은 성격이 다릅니다. AI 주식은 기업 실적과 금리에, 비트코인은 유동성·ETF 자금 흐름·위험자산 심리에 더 민감하게 움직일 수 있습니다.</w:t>
      </w:r>
    </w:p>
    <w:p>
      <w:pPr>
        <w:pStyle w:val="NoteText"/>
        <w:shd w:val="clear" w:color="auto" w:fill="F8FAFC"/>
      </w:pPr>
      <w:r>
        <w:rPr>
          <w:rFonts w:ascii="Malgun Gothic" w:hAnsi="Malgun Gothic" w:eastAsia="맑은 고딕"/>
          <w:color w:val="111827"/>
        </w:rPr>
        <w:t>AI 반도체 랠리는 여전히 글로벌 시장의 핵심 이슈입니다. 다만 오늘 확인되는 흐름은 확정적인 상승장이라기보다, 조정 뒤 다시 시험대에 오른 반등으로 보는 편이 안전합니다. 주식과 가상자산 관련 내용은 투자 참고용이며, 최종 투자 판단과 책임은 본인에게 있습니다.</w:t>
      </w:r>
    </w:p>
    <w:sectPr>
      <w:pgSz w:w="11906" w:h="16838"/>
      <w:pgMar w:top="1134" w:right="1134" w:bottom="1134" w:left="1134" w:header="500" w:footer="500" w:gutter="0"/>
    </w:sectPr>
  </w:body>
</w:document>
</file>

<file path=word/styles.xml><?xml version="1.0" encoding="utf-8"?>
<w:styles xmlns:w="http://schemas.openxmlformats.org/wordprocessingml/2006/main">
  <w:docDefaults>
    <w:rPrDefault>
      <w:rPr>
        <w:rFonts w:ascii="Malgun Gothic" w:hAnsi="Malgun Gothic" w:eastAsia="맑은 고딕"/>
        <w:sz w:val="21"/>
        <w:szCs w:val="21"/>
        <w:color w:val="263241"/>
      </w:rPr>
    </w:rPrDefault>
    <w:pPrDefault>
      <w:pPr>
        <w:spacing w:after="140" w:line="400" w:lineRule="auto"/>
      </w:pPr>
    </w:pPrDefault>
  </w:docDefaults>
  <w:style w:type="paragraph" w:default="1" w:styleId="Normal">
    <w:name w:val="Normal"/>
    <w:qFormat/>
  </w:style>
  <w:style w:type="paragraph" w:styleId="Title">
    <w:name w:val="Title"/>
    <w:basedOn w:val="Normal"/>
    <w:next w:val="BodyText"/>
    <w:qFormat/>
    <w:pPr>
      <w:spacing w:after="180"/>
    </w:pPr>
    <w:rPr>
      <w:b/>
      <w:color w:val="111827"/>
      <w:sz w:val="40"/>
      <w:szCs w:val="40"/>
    </w:rPr>
  </w:style>
  <w:style w:type="paragraph" w:styleId="Heading2">
    <w:name w:val="Heading 2"/>
    <w:basedOn w:val="Normal"/>
    <w:next w:val="BodyText"/>
    <w:qFormat/>
    <w:pPr>
      <w:spacing w:before="260" w:after="100"/>
      <w:keepNext/>
    </w:pPr>
    <w:rPr>
      <w:b/>
      <w:color w:val="1D4ED8"/>
      <w:sz w:val="30"/>
      <w:szCs w:val="30"/>
    </w:rPr>
  </w:style>
  <w:style w:type="paragraph" w:styleId="Heading3">
    <w:name w:val="Heading 3"/>
    <w:basedOn w:val="Normal"/>
    <w:next w:val="BodyText"/>
    <w:qFormat/>
    <w:pPr>
      <w:spacing w:before="200" w:after="80"/>
      <w:keepNext/>
    </w:pPr>
    <w:rPr>
      <w:b/>
      <w:color w:val="6D28D9"/>
      <w:sz w:val="26"/>
      <w:szCs w:val="26"/>
    </w:rPr>
  </w:style>
  <w:style w:type="paragraph" w:styleId="BodyText">
    <w:name w:val="Body Text"/>
    <w:basedOn w:val="Normal"/>
    <w:pPr>
      <w:spacing w:after="140" w:line="400" w:lineRule="auto"/>
    </w:pPr>
    <w:rPr>
      <w:sz w:val="21"/>
      <w:szCs w:val="21"/>
    </w:rPr>
  </w:style>
  <w:style w:type="paragraph" w:styleId="ListText">
    <w:name w:val="List Text"/>
    <w:basedOn w:val="BodyText"/>
    <w:pPr>
      <w:ind w:left="360" w:hanging="180"/>
    </w:pPr>
  </w:style>
  <w:style w:type="paragraph" w:styleId="NoteText">
    <w:name w:val="Note Text"/>
    <w:basedOn w:val="BodyText"/>
    <w:pPr>
      <w:spacing w:after="120"/>
      <w:shd w:val="clear" w:color="auto" w:fill="F8FAFC"/>
    </w:pPr>
    <w:rPr>
      <w:color w:val="64748B"/>
      <w:sz w:val="19"/>
      <w:szCs w:val="19"/>
    </w:rPr>
  </w:style>
  <w:style w:type="paragraph" w:styleId="MetaText">
    <w:name w:val="Meta Text"/>
    <w:basedOn w:val="Normal"/>
    <w:pPr>
      <w:spacing w:after="180"/>
    </w:pPr>
    <w:rPr>
      <w:color w:val="64748B"/>
      <w:sz w:val="18"/>
      <w:szCs w:val="18"/>
    </w:rPr>
  </w:style>
  <w:style w:type="paragraph" w:styleId="TableText">
    <w:name w:val="Table Text"/>
    <w:basedOn w:val="Normal"/>
    <w:pPr>
      <w:spacing w:after="60" w:line="300" w:lineRule="auto"/>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NEO AI</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반도체 랠리 재점화, 미국 증시가 다시 흔들리는 이유</dc:title>
  <dc:creator>NEO AI 콘텐츠 센터</dc:creator>
  <cp:lastModifiedBy>NEO AI 콘텐츠 센터</cp:lastModifiedBy>
  <dcterms:created xsi:type="dcterms:W3CDTF">2026-07-11T08:10:31Z</dcterms:created>
  <dcterms:modified xsi:type="dcterms:W3CDTF">2026-07-11T08:10:31Z</dcterms:modified>
</cp:coreProperties>
</file>