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rFonts w:ascii="Malgun Gothic" w:hAnsi="Malgun Gothic" w:eastAsia="맑은 고딕"/>
          <w:color w:val="111827"/>
        </w:rPr>
        <w:t>SK하이닉스 미국 상장 추진, AI 반도체 랠리의 다음 변수</w:t>
      </w:r>
    </w:p>
    <w:p>
      <w:pPr>
        <w:pStyle w:val="MetaText"/>
      </w:pPr>
      <w:r>
        <w:rPr>
          <w:rFonts w:ascii="Malgun Gothic" w:hAnsi="Malgun Gothic" w:eastAsia="맑은 고딕"/>
          <w:color w:val="111827"/>
        </w:rPr>
        <w:t>플랫폼: 자동 선택 · 검색의도: 자동 분석 · 발행일: 2026-07-07 01:22:28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복사용 본문</w:t>
      </w:r>
    </w:p>
    <w:p>
      <w:pPr>
        <w:pStyle w:val="BodyText"/>
        <w:shd w:val="clear" w:color="auto" w:fill="EFF6FF"/>
        <w:pBdr>
          <w:left w:val="single" w:sz="16" w:space="8" w:color="2563EB"/>
        </w:pBdr>
        <w:spacing w:before="120" w:after="160"/>
      </w:pPr>
      <w:r>
        <w:rPr>
          <w:rFonts w:ascii="Malgun Gothic" w:hAnsi="Malgun Gothic" w:eastAsia="맑은 고딕"/>
          <w:color w:val="111827"/>
        </w:rPr>
        <w:t>AI 반도체 흐름에서 지금 가장 눈에 띄는 이슈는 SK하이닉스의 미국 증시 상장 추진과 반도체주 반등입니다. 미국 증시는 AI 관련 기대와 반도체주 강세에 힘입어 나스닥과 S&amp;P500이 상승했고, SK하이닉스는 대규모 미국 주식 판매를 통해 AI 메모리 투자 여력을 키우려는 움직임을 보이고 있습니다. 다만 최근 반도체주는 기대감과 차익실현이 함께 나타나는 구간이라 단기 방향을 단정하기는 어렵습니다.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왜 지금 주목받을까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산업에서 고대역폭메모리, 즉 HBM은 엔비디아 같은 AI 가속기 생태계와 연결되는 핵심 부품으로 꼽힙니다. SK하이닉스는 HBM 수요 확대의 대표 수혜 기업으로 거론돼 왔고, 이번 미국 상장 추진은 글로벌 투자자들이 한국 메모리 기업에 직접 접근할 수 있는 통로가 넓어진다는 점에서 관심을 받고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내용 정리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구분	확인 내용	해석 포인트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증시	반도체주 반등으로 나스닥과 S&amp;P500 상승	AI 관련주가 시장 심리를 다시 끌어올림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	약 280억 달러 규모 미국 주식 판매 추진	HBM·설비 투자와 글로벌 자금 조달 기대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반도체 업종	필라델피아 반도체지수 반등 흐름	단기 낙폭 이후 매수세 유입 여부 주목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리스크	일부 투자자들은 AI 투자비 회수 시점을 우려	실적 확인 전까지 변동성 가능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시장에 줄 수 있는 영향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이번 이슈는 한국 반도체뿐 아니라 미국 AI 인프라 관련주에도 영향을 줄 수 있습니다. SK하이닉스의 자금 조달이 순조롭게 진행되면 HBM 공급 확대 기대가 커질 수 있고, 이는 AI 서버·데이터센터 투자 흐름과도 연결됩니다. 반대로 시장이 “AI 투자가 실제 이익으로 얼마나 이어지는가”를 더 엄격하게 보기 시작하면 반도체주는 실적 발표 때마다 크게 흔들릴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앞으로 확인할 변수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가장 먼저 볼 것은 SK하이닉스의 미국 상장 세부 조건과 투자자 수요입니다. 여기에 삼성전자와 글로벌 반도체 기업들의 실적, HBM 가격 흐름, 엔비디아를 포함한 AI 칩 수요 전망도 함께 확인해야 합니다. 미국 금리 전망과 달러 흐름도 기술주 밸류에이션에 영향을 줄 수 있어 같이 봐야 할 변수입니다.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개인 투자자가 조심할 점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AI 반도체는 장기 성장 기대가 큰 분야지만, 주가에는 이미 많은 기대가 반영됐을 수 있습니다. 특히 상장, 실적 발표, 대형 수주 뉴스는 단기적으로 주가를 흔들 수 있습니다. 특정 종목을 추격 매수하기보다는 실적, 현금흐름, 설비투자 규모, 고객사 의존도를 함께 확인하는 접근이 필요합니다.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FAQ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Q1. 이 이슈가 중요한 이유는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AI 서버 확산으로 HBM 수요가 커지는 가운데, SK하이닉스의 미국 상장 추진은 글로벌 투자자금과 반도체 공급 투자 흐름을 동시에 보여주는 이슈이기 때문입니다.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Q2. 이 이슈와 함께 봐야 할 지표나 뉴스는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반도체지수, 엔비디아 실적, 삼성전자·SK하이닉스 실적, HBM 가격, 미국 금리 전망, 데이터센터 투자 계획을 함께 보는 것이 좋습니다.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Q3. 단기적으로 주의할 점은 무엇인가요?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A. AI 기대감만으로 주가가 움직이는 구간에서는 실적 발표나 투자비 부담 뉴스에 따라 변동성이 커질 수 있습니다.</w:t>
      </w:r>
    </w:p>
    <w:p>
      <w:pPr>
        <w:pStyle w:val="Heading2"/>
      </w:pPr>
      <w:r>
        <w:rPr>
          <w:rFonts w:ascii="Malgun Gothic" w:hAnsi="Malgun Gothic" w:eastAsia="맑은 고딕"/>
          <w:color w:val="111827"/>
        </w:rPr>
        <w:t>핵심 요약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SK하이닉스 미국 상장 추진은 AI 메모리 투자 흐름과 맞물린 핵심 이슈입니다.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미국 증시는 반도체주 반등으로 투자심리가 개선됐지만, 차익실현 가능성도 남아 있습니다.</w:t>
      </w:r>
    </w:p>
    <w:p>
      <w:pPr>
        <w:pStyle w:val="BodyText"/>
      </w:pPr>
      <w:r>
        <w:rPr>
          <w:rFonts w:ascii="Malgun Gothic" w:hAnsi="Malgun Gothic" w:eastAsia="맑은 고딕"/>
          <w:color w:val="111827"/>
        </w:rPr>
        <w:t>개인 투자자는 AI 성장성뿐 아니라 실적, 설비투자 부담, 금리 변수를 함께 확인해야 합니다.</w:t>
      </w:r>
    </w:p>
    <w:p>
      <w:pPr>
        <w:pStyle w:val="NoteText"/>
        <w:shd w:val="clear" w:color="auto" w:fill="F8FAFC"/>
      </w:pPr>
      <w:r>
        <w:rPr>
          <w:rFonts w:ascii="Malgun Gothic" w:hAnsi="Malgun Gothic" w:eastAsia="맑은 고딕"/>
          <w:color w:val="111827"/>
        </w:rPr>
        <w:t>※ 이 글은 해외 경제 흐름을 이해하기 위한 참고용 콘텐츠입니다. 특정 종목이나 자산에 대한 투자 권유가 아니며, 투자 판단은 본인 책임입니다.</w:t>
      </w:r>
    </w:p>
    <w:sectPr>
      <w:pgSz w:w="11906" w:h="16838"/>
      <w:pgMar w:top="1134" w:right="1134" w:bottom="1134" w:left="1134" w:header="500" w:footer="500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Malgun Gothic" w:hAnsi="Malgun Gothic" w:eastAsia="맑은 고딕"/>
        <w:sz w:val="21"/>
        <w:szCs w:val="21"/>
        <w:color w:val="263241"/>
      </w:rPr>
    </w:rPrDefault>
    <w:pPrDefault>
      <w:pPr>
        <w:spacing w:after="140" w:line="400" w:lineRule="auto"/>
      </w:pPr>
    </w:pPrDefault>
  </w:docDefaults>
  <w:style w:type="paragraph" w:default="1" w:styleId="Normal">
    <w:name w:val="Normal"/>
    <w:qFormat/>
  </w:style>
  <w:style w:type="paragraph" w:styleId="Title">
    <w:name w:val="Title"/>
    <w:basedOn w:val="Normal"/>
    <w:next w:val="BodyText"/>
    <w:qFormat/>
    <w:pPr>
      <w:spacing w:after="180"/>
    </w:pPr>
    <w:rPr>
      <w:b/>
      <w:color w:val="111827"/>
      <w:sz w:val="40"/>
      <w:szCs w:val="40"/>
    </w:rPr>
  </w:style>
  <w:style w:type="paragraph" w:styleId="Heading2">
    <w:name w:val="Heading 2"/>
    <w:basedOn w:val="Normal"/>
    <w:next w:val="BodyText"/>
    <w:qFormat/>
    <w:pPr>
      <w:spacing w:before="260" w:after="100"/>
      <w:keepNext/>
    </w:pPr>
    <w:rPr>
      <w:b/>
      <w:color w:val="1D4ED8"/>
      <w:sz w:val="30"/>
      <w:szCs w:val="30"/>
    </w:rPr>
  </w:style>
  <w:style w:type="paragraph" w:styleId="Heading3">
    <w:name w:val="Heading 3"/>
    <w:basedOn w:val="Normal"/>
    <w:next w:val="BodyText"/>
    <w:qFormat/>
    <w:pPr>
      <w:spacing w:before="200" w:after="80"/>
      <w:keepNext/>
    </w:pPr>
    <w:rPr>
      <w:b/>
      <w:color w:val="6D28D9"/>
      <w:sz w:val="26"/>
      <w:szCs w:val="26"/>
    </w:rPr>
  </w:style>
  <w:style w:type="paragraph" w:styleId="BodyText">
    <w:name w:val="Body Text"/>
    <w:basedOn w:val="Normal"/>
    <w:pPr>
      <w:spacing w:after="140" w:line="400" w:lineRule="auto"/>
    </w:pPr>
    <w:rPr>
      <w:sz w:val="21"/>
      <w:szCs w:val="21"/>
    </w:rPr>
  </w:style>
  <w:style w:type="paragraph" w:styleId="ListText">
    <w:name w:val="List Text"/>
    <w:basedOn w:val="BodyText"/>
    <w:pPr>
      <w:ind w:left="360" w:hanging="180"/>
    </w:pPr>
  </w:style>
  <w:style w:type="paragraph" w:styleId="NoteText">
    <w:name w:val="Note Text"/>
    <w:basedOn w:val="BodyText"/>
    <w:pPr>
      <w:spacing w:after="120"/>
      <w:shd w:val="clear" w:color="auto" w:fill="F8FAFC"/>
    </w:pPr>
    <w:rPr>
      <w:color w:val="64748B"/>
      <w:sz w:val="19"/>
      <w:szCs w:val="19"/>
    </w:rPr>
  </w:style>
  <w:style w:type="paragraph" w:styleId="MetaText">
    <w:name w:val="Meta Text"/>
    <w:basedOn w:val="Normal"/>
    <w:pPr>
      <w:spacing w:after="180"/>
    </w:pPr>
    <w:rPr>
      <w:color w:val="64748B"/>
      <w:sz w:val="18"/>
      <w:szCs w:val="18"/>
    </w:rPr>
  </w:style>
  <w:style w:type="paragraph" w:styleId="TableText">
    <w:name w:val="Table Text"/>
    <w:basedOn w:val="Normal"/>
    <w:pPr>
      <w:spacing w:after="60" w:line="300" w:lineRule="auto"/>
    </w:pPr>
    <w:rPr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NEO AI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SK하이닉스 미국 상장 추진, AI 반도체 랠리의 다음 변수</dc:title>
  <dc:creator>NEO AI 콘텐츠 센터</dc:creator>
  <cp:lastModifiedBy>NEO AI 콘텐츠 센터</cp:lastModifiedBy>
  <dcterms:created xsi:type="dcterms:W3CDTF">2026-07-11T08:09:12Z</dcterms:created>
  <dcterms:modified xsi:type="dcterms:W3CDTF">2026-07-11T08:09:12Z</dcterms:modified>
</cp:coreProperties>
</file>