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Title"/>
      </w:pPr>
      <w:r>
        <w:rPr>
          <w:rFonts w:ascii="Malgun Gothic" w:hAnsi="Malgun Gothic" w:eastAsia="맑은 고딕"/>
          <w:color w:val="111827"/>
        </w:rPr>
        <w:t>7월 부동산정책 핵심 정리: 대출 규제와 공급 변수를 함께 봐야 하는 이유</w:t>
      </w:r>
    </w:p>
    <w:p>
      <w:pPr>
        <w:pStyle w:val="MetaText"/>
      </w:pPr>
      <w:r>
        <w:rPr>
          <w:rFonts w:ascii="Malgun Gothic" w:hAnsi="Malgun Gothic" w:eastAsia="맑은 고딕"/>
          <w:color w:val="111827"/>
        </w:rPr>
        <w:t>플랫폼: 자동 선택 · 검색의도: 자동 분석 · 발행일: 2026-07-06 17:13:24</w:t>
      </w:r>
    </w:p>
    <w:p>
      <w:pPr>
        <w:pStyle w:val="Heading2"/>
      </w:pPr>
      <w:r>
        <w:rPr>
          <w:rFonts w:ascii="Malgun Gothic" w:hAnsi="Malgun Gothic" w:eastAsia="맑은 고딕"/>
          <w:color w:val="111827"/>
        </w:rPr>
        <w:t>복사용 본문</w:t>
      </w:r>
    </w:p>
    <w:p>
      <w:pPr>
        <w:pStyle w:val="BodyText"/>
        <w:shd w:val="clear" w:color="auto" w:fill="EFF6FF"/>
        <w:pBdr>
          <w:left w:val="single" w:sz="16" w:space="8" w:color="2563EB"/>
        </w:pBdr>
        <w:spacing w:before="120" w:after="160"/>
      </w:pPr>
      <w:r>
        <w:rPr>
          <w:rFonts w:ascii="Malgun Gothic" w:hAnsi="Malgun Gothic" w:eastAsia="맑은 고딕"/>
          <w:color w:val="111827"/>
        </w:rPr>
        <w:t>7월 부동산정책에서 가장 먼저 볼 부분은 새 정책 하나보다 대출 규제 지속 여부와 공급 속도입니다. 현재 확인 가능한 기준으로는 수도권·규제지역 주택구입 목적 주담대 한도, 전입 의무, 생애최초 LTV 조정, 가계대출 관리 강화 기조가 시장의 핵심 변수로 남아 있습니다. 특히 2026년 5월 전 금융권 가계대출 증가폭이 커진 만큼, 7월에도 대출 관리 강도는 쉽게 완화되기보다 점검이 이어질 가능성이 있습니다.</w:t>
      </w:r>
    </w:p>
    <w:p>
      <w:pPr>
        <w:pStyle w:val="BodyText"/>
      </w:pPr>
      <w:r>
        <w:rPr>
          <w:rFonts w:ascii="Malgun Gothic" w:hAnsi="Malgun Gothic" w:eastAsia="맑은 고딕"/>
          <w:color w:val="111827"/>
        </w:rPr>
        <w:t>금융위원회</w:t>
      </w:r>
    </w:p>
    <w:p>
      <w:pPr>
        <w:pStyle w:val="Heading2"/>
      </w:pPr>
      <w:r>
        <w:rPr>
          <w:rFonts w:ascii="Malgun Gothic" w:hAnsi="Malgun Gothic" w:eastAsia="맑은 고딕"/>
          <w:color w:val="111827"/>
        </w:rPr>
        <w:t>왜 지금 주목받을까</w:t>
      </w:r>
    </w:p>
    <w:p>
      <w:pPr>
        <w:pStyle w:val="BodyText"/>
      </w:pPr>
      <w:r>
        <w:rPr>
          <w:rFonts w:ascii="Malgun Gothic" w:hAnsi="Malgun Gothic" w:eastAsia="맑은 고딕"/>
          <w:color w:val="111827"/>
        </w:rPr>
        <w:t>7월은 하반기 거래 흐름이 시작되는 시기입니다. 매수자는 “대출이 얼마나 나오는지”, 매도자는 “거래가 다시 붙을지”를 확인하게 됩니다. 정부는 2026년 경제정책 방향에서 주택공급 가속화 등 부동산시장 안정을 리스크 관리 과제로 제시했고, 금융당국도 가계부채 증가세가 안정될 때까지 점검 체계를 유지하겠다고 밝힌 상태입니다.</w:t>
      </w:r>
    </w:p>
    <w:p>
      <w:pPr>
        <w:pStyle w:val="BodyText"/>
      </w:pPr>
      <w:r>
        <w:rPr>
          <w:rFonts w:ascii="Malgun Gothic" w:hAnsi="Malgun Gothic" w:eastAsia="맑은 고딕"/>
          <w:color w:val="111827"/>
        </w:rPr>
        <w:t>환경부</w:t>
      </w:r>
    </w:p>
    <w:p>
      <w:pPr>
        <w:pStyle w:val="Heading2"/>
      </w:pPr>
      <w:r>
        <w:rPr>
          <w:rFonts w:ascii="Malgun Gothic" w:hAnsi="Malgun Gothic" w:eastAsia="맑은 고딕"/>
          <w:color w:val="111827"/>
        </w:rPr>
        <w:t>핵심 내용 정리</w:t>
      </w:r>
    </w:p>
    <w:p>
      <w:pPr>
        <w:pStyle w:val="BodyText"/>
      </w:pPr>
      <w:r>
        <w:rPr>
          <w:rFonts w:ascii="Malgun Gothic" w:hAnsi="Malgun Gothic" w:eastAsia="맑은 고딕"/>
          <w:color w:val="111827"/>
        </w:rPr>
        <w:t>구분	확인 내용	해석 포인트</w:t>
      </w:r>
    </w:p>
    <w:p>
      <w:pPr>
        <w:pStyle w:val="BodyText"/>
      </w:pPr>
      <w:r>
        <w:rPr>
          <w:rFonts w:ascii="Malgun Gothic" w:hAnsi="Malgun Gothic" w:eastAsia="맑은 고딕"/>
          <w:color w:val="111827"/>
        </w:rPr>
        <w:t>대출 규제	수도권·규제지역 주택구입 목적 주담대 한도와 전입 의무가 핵심	실거주 중심 수요만 선별하려는 흐름</w:t>
      </w:r>
    </w:p>
    <w:p>
      <w:pPr>
        <w:pStyle w:val="BodyText"/>
      </w:pPr>
      <w:r>
        <w:rPr>
          <w:rFonts w:ascii="Malgun Gothic" w:hAnsi="Malgun Gothic" w:eastAsia="맑은 고딕"/>
          <w:color w:val="111827"/>
        </w:rPr>
        <w:t>가계부채	2026년 5월 전 금융권 가계대출은 9.3조 원 증가	대출 관리가 하반기 변수로 작용</w:t>
      </w:r>
    </w:p>
    <w:p>
      <w:pPr>
        <w:pStyle w:val="BodyText"/>
      </w:pPr>
      <w:r>
        <w:rPr>
          <w:rFonts w:ascii="Malgun Gothic" w:hAnsi="Malgun Gothic" w:eastAsia="맑은 고딕"/>
          <w:color w:val="111827"/>
        </w:rPr>
        <w:t>약정 점검	전입·처분·추가주택 구입금지 약정 위반 점검 지속	대출 실행 후 사후관리도 중요</w:t>
      </w:r>
    </w:p>
    <w:p>
      <w:pPr>
        <w:pStyle w:val="BodyText"/>
      </w:pPr>
      <w:r>
        <w:rPr>
          <w:rFonts w:ascii="Malgun Gothic" w:hAnsi="Malgun Gothic" w:eastAsia="맑은 고딕"/>
          <w:color w:val="111827"/>
        </w:rPr>
        <w:t>공급 정책	주택공급 가속화가 정책 방향에 포함	실제 착공·분양 속도 확인 필요</w:t>
      </w:r>
    </w:p>
    <w:p>
      <w:pPr>
        <w:pStyle w:val="Heading2"/>
      </w:pPr>
      <w:r>
        <w:rPr>
          <w:rFonts w:ascii="Malgun Gothic" w:hAnsi="Malgun Gothic" w:eastAsia="맑은 고딕"/>
          <w:color w:val="111827"/>
        </w:rPr>
        <w:t>시장에 줄 수 있는 영향</w:t>
      </w:r>
    </w:p>
    <w:p>
      <w:pPr>
        <w:pStyle w:val="BodyText"/>
      </w:pPr>
      <w:r>
        <w:rPr>
          <w:rFonts w:ascii="Malgun Gothic" w:hAnsi="Malgun Gothic" w:eastAsia="맑은 고딕"/>
          <w:color w:val="111827"/>
        </w:rPr>
        <w:t>단기적으로는 고가 주택이나 다주택 투자 수요보다 실거주 수요의 자금 여력이 더 중요해질 수 있습니다. 대출 한도와 DSR, 전입 의무가 함께 적용되면 매수 가능 금액이 줄어들고, 일부 지역은 거래 속도가 둔화될 수 있습니다. 다만 공급 확대가 실제 입주 물량으로 이어지는 데는 시간이 걸리므로, 가격 안정 효과를 단기간에 단정하기는 어렵습니다.</w:t>
      </w:r>
    </w:p>
    <w:p>
      <w:pPr>
        <w:pStyle w:val="Heading2"/>
      </w:pPr>
      <w:r>
        <w:rPr>
          <w:rFonts w:ascii="Malgun Gothic" w:hAnsi="Malgun Gothic" w:eastAsia="맑은 고딕"/>
          <w:color w:val="111827"/>
        </w:rPr>
        <w:t>앞으로 확인할 변수</w:t>
      </w:r>
    </w:p>
    <w:p>
      <w:pPr>
        <w:pStyle w:val="BodyText"/>
      </w:pPr>
      <w:r>
        <w:rPr>
          <w:rFonts w:ascii="Malgun Gothic" w:hAnsi="Malgun Gothic" w:eastAsia="맑은 고딕"/>
          <w:color w:val="111827"/>
        </w:rPr>
        <w:t>앞으로는 6월 이후 가계대출 증가폭, 서울·수도권 아파트 거래량, 미분양과 준공 후 미분양 흐름, 전세대출 보증비율 변화, 하반기 추가 공급 대책 여부를 함께 봐야 합니다. 특히 정부가 추가 대책을 언급한 만큼, 7월 이후 발표되는 금융·주택 관련 공지는 확인 필요입니다.</w:t>
      </w:r>
    </w:p>
    <w:p>
      <w:pPr>
        <w:pStyle w:val="BodyText"/>
      </w:pPr>
      <w:r>
        <w:rPr>
          <w:rFonts w:ascii="Malgun Gothic" w:hAnsi="Malgun Gothic" w:eastAsia="맑은 고딕"/>
          <w:color w:val="111827"/>
        </w:rPr>
        <w:t>금융위원회</w:t>
      </w:r>
    </w:p>
    <w:p>
      <w:pPr>
        <w:pStyle w:val="Heading2"/>
      </w:pPr>
      <w:r>
        <w:rPr>
          <w:rFonts w:ascii="Malgun Gothic" w:hAnsi="Malgun Gothic" w:eastAsia="맑은 고딕"/>
          <w:color w:val="111827"/>
        </w:rPr>
        <w:t>개인 투자자가 조심할 점</w:t>
      </w:r>
    </w:p>
    <w:p>
      <w:pPr>
        <w:pStyle w:val="BodyText"/>
      </w:pPr>
      <w:r>
        <w:rPr>
          <w:rFonts w:ascii="Malgun Gothic" w:hAnsi="Malgun Gothic" w:eastAsia="맑은 고딕"/>
          <w:color w:val="111827"/>
        </w:rPr>
        <w:t>부동산정책은 발표 시점보다 시행일, 예외 조건, 기존 계약 경과규정이 더 중요합니다. 계약 전에는 본인 소득 기준 대출 가능액, 전입 가능 여부, 기존 주택 처분 약정, 신용대출 사용 계획을 먼저 확인해야 합니다. “대책 이후 무조건 하락” 또는 “규제 완화 기대”처럼 단정적인 판단은 피하는 것이 좋습니다.</w:t>
      </w:r>
    </w:p>
    <w:p>
      <w:pPr>
        <w:pStyle w:val="Heading2"/>
      </w:pPr>
      <w:r>
        <w:rPr>
          <w:rFonts w:ascii="Malgun Gothic" w:hAnsi="Malgun Gothic" w:eastAsia="맑은 고딕"/>
          <w:color w:val="111827"/>
        </w:rPr>
        <w:t>FAQ</w:t>
      </w:r>
    </w:p>
    <w:p>
      <w:pPr>
        <w:pStyle w:val="BodyText"/>
      </w:pPr>
      <w:r>
        <w:rPr>
          <w:rFonts w:ascii="Malgun Gothic" w:hAnsi="Malgun Gothic" w:eastAsia="맑은 고딕"/>
          <w:color w:val="111827"/>
        </w:rPr>
        <w:t>Q1. 이 이슈가 지금 주목받는 이유는 무엇인가요?</w:t>
      </w:r>
    </w:p>
    <w:p>
      <w:pPr>
        <w:pStyle w:val="BodyText"/>
      </w:pPr>
      <w:r>
        <w:rPr>
          <w:rFonts w:ascii="Malgun Gothic" w:hAnsi="Malgun Gothic" w:eastAsia="맑은 고딕"/>
          <w:color w:val="111827"/>
        </w:rPr>
        <w:t>A. 하반기 주택 거래와 대출 가능 여부를 좌우할 수 있는 규제·공급 변수가 7월에 함께 확인되기 때문입니다.</w:t>
      </w:r>
    </w:p>
    <w:p>
      <w:pPr>
        <w:pStyle w:val="BodyText"/>
      </w:pPr>
      <w:r>
        <w:rPr>
          <w:rFonts w:ascii="Malgun Gothic" w:hAnsi="Malgun Gothic" w:eastAsia="맑은 고딕"/>
          <w:color w:val="111827"/>
        </w:rPr>
        <w:t>Q2. 이 키워드와 함께 봐야 할 뉴스는 무엇인가요?</w:t>
      </w:r>
    </w:p>
    <w:p>
      <w:pPr>
        <w:pStyle w:val="BodyText"/>
      </w:pPr>
      <w:r>
        <w:rPr>
          <w:rFonts w:ascii="Malgun Gothic" w:hAnsi="Malgun Gothic" w:eastAsia="맑은 고딕"/>
          <w:color w:val="111827"/>
        </w:rPr>
        <w:t>A. 가계대출 동향, 주택공급 통계, 수도권 아파트 거래량, 전세대출 보증 규정, 추가 부동산 대책 발표 여부를 함께 봐야 합니다.</w:t>
      </w:r>
    </w:p>
    <w:p>
      <w:pPr>
        <w:pStyle w:val="BodyText"/>
      </w:pPr>
      <w:r>
        <w:rPr>
          <w:rFonts w:ascii="Malgun Gothic" w:hAnsi="Malgun Gothic" w:eastAsia="맑은 고딕"/>
          <w:color w:val="111827"/>
        </w:rPr>
        <w:t>Q3. 단기적으로 주의할 점은 무엇인가요?</w:t>
      </w:r>
    </w:p>
    <w:p>
      <w:pPr>
        <w:pStyle w:val="BodyText"/>
      </w:pPr>
      <w:r>
        <w:rPr>
          <w:rFonts w:ascii="Malgun Gothic" w:hAnsi="Malgun Gothic" w:eastAsia="맑은 고딕"/>
          <w:color w:val="111827"/>
        </w:rPr>
        <w:t>A. 대출 한도만 보고 계약하기보다 DSR, LTV, 전입 의무, 기존 주택 처분 조건까지 같이 확인해야 합니다.</w:t>
      </w:r>
    </w:p>
    <w:p>
      <w:pPr>
        <w:pStyle w:val="Heading2"/>
      </w:pPr>
      <w:r>
        <w:rPr>
          <w:rFonts w:ascii="Malgun Gothic" w:hAnsi="Malgun Gothic" w:eastAsia="맑은 고딕"/>
          <w:color w:val="111827"/>
        </w:rPr>
        <w:t>핵심 요약</w:t>
      </w:r>
    </w:p>
    <w:p>
      <w:pPr>
        <w:pStyle w:val="BodyText"/>
      </w:pPr>
      <w:r>
        <w:rPr>
          <w:rFonts w:ascii="Malgun Gothic" w:hAnsi="Malgun Gothic" w:eastAsia="맑은 고딕"/>
          <w:color w:val="111827"/>
        </w:rPr>
        <w:t>7월 부동산정책의 핵심은 대출 규제와 공급 속도입니다.</w:t>
      </w:r>
    </w:p>
    <w:p>
      <w:pPr>
        <w:pStyle w:val="BodyText"/>
      </w:pPr>
      <w:r>
        <w:rPr>
          <w:rFonts w:ascii="Malgun Gothic" w:hAnsi="Malgun Gothic" w:eastAsia="맑은 고딕"/>
          <w:color w:val="111827"/>
        </w:rPr>
        <w:t>가계대출 증가세가 이어지면 금융당국의 관리 강도도 유지될 수 있습니다.</w:t>
      </w:r>
    </w:p>
    <w:p>
      <w:pPr>
        <w:pStyle w:val="BodyText"/>
      </w:pPr>
      <w:r>
        <w:rPr>
          <w:rFonts w:ascii="Malgun Gothic" w:hAnsi="Malgun Gothic" w:eastAsia="맑은 고딕"/>
          <w:color w:val="111827"/>
        </w:rPr>
        <w:t>매수자는 대출 가능액보다 전입·처분·약정 조건을 먼저 확인해야 합니다.</w:t>
      </w:r>
    </w:p>
    <w:p>
      <w:pPr>
        <w:pStyle w:val="NoteText"/>
        <w:shd w:val="clear" w:color="auto" w:fill="F8FAFC"/>
      </w:pPr>
      <w:r>
        <w:rPr>
          <w:rFonts w:ascii="Malgun Gothic" w:hAnsi="Malgun Gothic" w:eastAsia="맑은 고딕"/>
          <w:color w:val="111827"/>
        </w:rPr>
        <w:t>※ 이 글은 해외 경제 흐름을 이해하기 위한 참고용 콘텐츠입니다. 특정 종목이나 자산에 대한 투자 권유가 아니며, 투자 판단은 본인 책임입니다.</w:t>
      </w:r>
    </w:p>
    <w:sectPr>
      <w:pgSz w:w="11906" w:h="16838"/>
      <w:pgMar w:top="1134" w:right="1134" w:bottom="1134" w:left="1134" w:header="500" w:footer="500" w:gutter="0"/>
    </w:sectPr>
  </w:body>
</w:document>
</file>

<file path=word/styles.xml><?xml version="1.0" encoding="utf-8"?>
<w:styles xmlns:w="http://schemas.openxmlformats.org/wordprocessingml/2006/main">
  <w:docDefaults>
    <w:rPrDefault>
      <w:rPr>
        <w:rFonts w:ascii="Malgun Gothic" w:hAnsi="Malgun Gothic" w:eastAsia="맑은 고딕"/>
        <w:sz w:val="21"/>
        <w:szCs w:val="21"/>
        <w:color w:val="263241"/>
      </w:rPr>
    </w:rPrDefault>
    <w:pPrDefault>
      <w:pPr>
        <w:spacing w:after="140" w:line="400" w:lineRule="auto"/>
      </w:pPr>
    </w:pPrDefault>
  </w:docDefaults>
  <w:style w:type="paragraph" w:default="1" w:styleId="Normal">
    <w:name w:val="Normal"/>
    <w:qFormat/>
  </w:style>
  <w:style w:type="paragraph" w:styleId="Title">
    <w:name w:val="Title"/>
    <w:basedOn w:val="Normal"/>
    <w:next w:val="BodyText"/>
    <w:qFormat/>
    <w:pPr>
      <w:spacing w:after="180"/>
    </w:pPr>
    <w:rPr>
      <w:b/>
      <w:color w:val="111827"/>
      <w:sz w:val="40"/>
      <w:szCs w:val="40"/>
    </w:rPr>
  </w:style>
  <w:style w:type="paragraph" w:styleId="Heading2">
    <w:name w:val="Heading 2"/>
    <w:basedOn w:val="Normal"/>
    <w:next w:val="BodyText"/>
    <w:qFormat/>
    <w:pPr>
      <w:spacing w:before="260" w:after="100"/>
      <w:keepNext/>
    </w:pPr>
    <w:rPr>
      <w:b/>
      <w:color w:val="1D4ED8"/>
      <w:sz w:val="30"/>
      <w:szCs w:val="30"/>
    </w:rPr>
  </w:style>
  <w:style w:type="paragraph" w:styleId="Heading3">
    <w:name w:val="Heading 3"/>
    <w:basedOn w:val="Normal"/>
    <w:next w:val="BodyText"/>
    <w:qFormat/>
    <w:pPr>
      <w:spacing w:before="200" w:after="80"/>
      <w:keepNext/>
    </w:pPr>
    <w:rPr>
      <w:b/>
      <w:color w:val="6D28D9"/>
      <w:sz w:val="26"/>
      <w:szCs w:val="26"/>
    </w:rPr>
  </w:style>
  <w:style w:type="paragraph" w:styleId="BodyText">
    <w:name w:val="Body Text"/>
    <w:basedOn w:val="Normal"/>
    <w:pPr>
      <w:spacing w:after="140" w:line="400" w:lineRule="auto"/>
    </w:pPr>
    <w:rPr>
      <w:sz w:val="21"/>
      <w:szCs w:val="21"/>
    </w:rPr>
  </w:style>
  <w:style w:type="paragraph" w:styleId="ListText">
    <w:name w:val="List Text"/>
    <w:basedOn w:val="BodyText"/>
    <w:pPr>
      <w:ind w:left="360" w:hanging="180"/>
    </w:pPr>
  </w:style>
  <w:style w:type="paragraph" w:styleId="NoteText">
    <w:name w:val="Note Text"/>
    <w:basedOn w:val="BodyText"/>
    <w:pPr>
      <w:spacing w:after="120"/>
      <w:shd w:val="clear" w:color="auto" w:fill="F8FAFC"/>
    </w:pPr>
    <w:rPr>
      <w:color w:val="64748B"/>
      <w:sz w:val="19"/>
      <w:szCs w:val="19"/>
    </w:rPr>
  </w:style>
  <w:style w:type="paragraph" w:styleId="MetaText">
    <w:name w:val="Meta Text"/>
    <w:basedOn w:val="Normal"/>
    <w:pPr>
      <w:spacing w:after="180"/>
    </w:pPr>
    <w:rPr>
      <w:color w:val="64748B"/>
      <w:sz w:val="18"/>
      <w:szCs w:val="18"/>
    </w:rPr>
  </w:style>
  <w:style w:type="paragraph" w:styleId="TableText">
    <w:name w:val="Table Text"/>
    <w:basedOn w:val="Normal"/>
    <w:pPr>
      <w:spacing w:after="60" w:line="300" w:lineRule="auto"/>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NEO AI</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7월 부동산정책 핵심 정리: 대출 규제와 공급 변수를 함께 봐야 하는 이유</dc:title>
  <dc:creator>NEO AI 콘텐츠 센터</dc:creator>
  <cp:lastModifiedBy>NEO AI 콘텐츠 센터</cp:lastModifiedBy>
  <dcterms:created xsi:type="dcterms:W3CDTF">2026-07-11T08:19:18Z</dcterms:created>
  <dcterms:modified xsi:type="dcterms:W3CDTF">2026-07-11T08:19:18Z</dcterms:modified>
</cp:coreProperties>
</file>