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rFonts w:ascii="Malgun Gothic" w:hAnsi="Malgun Gothic" w:eastAsia="맑은 고딕"/>
          <w:color w:val="111827"/>
        </w:rPr>
        <w:t>비트코인 ETF 유입 재개, 반등 신호보다 자금 흐름 확인이 먼저</w:t>
      </w:r>
    </w:p>
    <w:p>
      <w:pPr>
        <w:pStyle w:val="MetaText"/>
      </w:pPr>
      <w:r>
        <w:rPr>
          <w:rFonts w:ascii="Malgun Gothic" w:hAnsi="Malgun Gothic" w:eastAsia="맑은 고딕"/>
          <w:color w:val="111827"/>
        </w:rPr>
        <w:t>플랫폼: 자동 선택 · 검색의도: 자동 분석 · 발행일: 2026-07-06 09:21:44</w:t>
      </w:r>
    </w:p>
    <w:p>
      <w:pPr>
        <w:pStyle w:val="Heading2"/>
      </w:pPr>
      <w:r>
        <w:rPr>
          <w:rFonts w:ascii="Malgun Gothic" w:hAnsi="Malgun Gothic" w:eastAsia="맑은 고딕"/>
          <w:color w:val="111827"/>
        </w:rPr>
        <w:t>복사용 본문</w:t>
      </w:r>
    </w:p>
    <w:p>
      <w:pPr>
        <w:pStyle w:val="BodyText"/>
        <w:shd w:val="clear" w:color="auto" w:fill="EFF6FF"/>
        <w:pBdr>
          <w:left w:val="single" w:sz="16" w:space="8" w:color="2563EB"/>
        </w:pBdr>
        <w:spacing w:before="120" w:after="160"/>
      </w:pPr>
      <w:r>
        <w:rPr>
          <w:rFonts w:ascii="Malgun Gothic" w:hAnsi="Malgun Gothic" w:eastAsia="맑은 고딕"/>
          <w:color w:val="111827"/>
        </w:rPr>
        <w:t>최근 비트코인 이슈의 핵심은 “가격이 바로 반등하느냐”보다 미국 현물 비트코인 ETF에서 빠져나가던 자금이 다시 이어질 수 있느냐입니다. 10거래일 연속 유출 뒤 하루 기준 2억2,170만 달러 유입이 확인됐지만, 올해 누적 흐름은 여전히 부담이 남아 있어 단기 반등 신호로 단정하기는 어렵습니다.</w:t>
      </w:r>
    </w:p>
    <w:p>
      <w:pPr>
        <w:pStyle w:val="Heading2"/>
      </w:pPr>
      <w:r>
        <w:rPr>
          <w:rFonts w:ascii="Malgun Gothic" w:hAnsi="Malgun Gothic" w:eastAsia="맑은 고딕"/>
          <w:color w:val="111827"/>
        </w:rPr>
        <w:t>왜 지금 주목받을까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비트코인은 최근 6만 달러 초중반에서 움직이며 위험자산 선호와 ETF 수급에 민감하게 반응하고 있습니다. 7월 6일 확인 기준 비트코인 가격은 약 6만3,523달러 수준이고, 최근 일주일 기준으로는 반등 흐름도 함께 관찰됩니다.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다만 시장의 관심은 단순 가격보다 ETF 자금 흐름에 쏠려 있습니다. 현물 ETF는 기관·개인 자금이 들어오고 나가는 통로 역할을 하기 때문에, 유입이 지속되면 수급 완화 요인이 될 수 있지만 유출이 재개되면 가격 부담으로 이어질 수 있습니다.</w:t>
      </w:r>
    </w:p>
    <w:p>
      <w:pPr>
        <w:pStyle w:val="Heading2"/>
      </w:pPr>
      <w:r>
        <w:rPr>
          <w:rFonts w:ascii="Malgun Gothic" w:hAnsi="Malgun Gothic" w:eastAsia="맑은 고딕"/>
          <w:color w:val="111827"/>
        </w:rPr>
        <w:t>핵심 내용 정리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구분	확인 내용	해석 포인트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ETF 자금	10일 연속 유출 뒤 하루 2억2,170만 달러 유입	단기 심리 개선 신호는 가능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누적 흐름	올해 누적 순유출은 여전히 큰 편	회복 추세로 단정하기 어려움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가격대	비트코인은 6만 달러 초중반에서 등락	ETF 수급과 금리 변수에 민감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시장 시각	일부 기관은 ETF 수요 약화를 이유로 전망을 낮춤	기대보다 확인이 중요한 구간</w:t>
      </w:r>
    </w:p>
    <w:p>
      <w:pPr>
        <w:pStyle w:val="Heading2"/>
      </w:pPr>
      <w:r>
        <w:rPr>
          <w:rFonts w:ascii="Malgun Gothic" w:hAnsi="Malgun Gothic" w:eastAsia="맑은 고딕"/>
          <w:color w:val="111827"/>
        </w:rPr>
        <w:t>시장에 줄 수 있는 영향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ETF 유입이 며칠 더 이어진다면 비트코인 가격의 하단을 받치는 재료가 될 수 있습니다. 반대로 하루 유입에 그치고 다시 순유출로 돌아서면 “반등 기대”보다 “자금 이탈 지속”이 더 크게 반영될 수 있습니다. 특히 금리, 달러 강세, 기술주 투자심리와 함께 움직일 가능성이 높습니다.</w:t>
      </w:r>
    </w:p>
    <w:p>
      <w:pPr>
        <w:pStyle w:val="Heading2"/>
      </w:pPr>
      <w:r>
        <w:rPr>
          <w:rFonts w:ascii="Malgun Gothic" w:hAnsi="Malgun Gothic" w:eastAsia="맑은 고딕"/>
          <w:color w:val="111827"/>
        </w:rPr>
        <w:t>앞으로 확인할 변수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가장 먼저 볼 부분은 미국 현물 비트코인 ETF의 일별 순유입 지속 여부입니다. 여기에 비트코인이 6만 달러 부근을 지지하는지, 기술주와 AI 관련주로 자금이 계속 이동하는지, 미국 금리 전망이 위험자산에 우호적으로 바뀌는지도 함께 확인해야 합니다.</w:t>
      </w:r>
    </w:p>
    <w:p>
      <w:pPr>
        <w:pStyle w:val="Heading2"/>
      </w:pPr>
      <w:r>
        <w:rPr>
          <w:rFonts w:ascii="Malgun Gothic" w:hAnsi="Malgun Gothic" w:eastAsia="맑은 고딕"/>
          <w:color w:val="111827"/>
        </w:rPr>
        <w:t>개인 투자자가 조심할 점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이번 유입은 긍정적인 재료일 수 있지만, 한 번의 자금 유입만으로 추세 전환을 판단하기는 어렵습니다. 비트코인과 가상자산은 변동성이 크기 때문에 분할 접근, 손실 가능성 점검, 레버리지 사용 주의가 필요합니다. 특히 ETF 흐름은 매일 바뀔 수 있어 단기 뉴스만 보고 판단하지 않는 것이 좋습니다.</w:t>
      </w:r>
    </w:p>
    <w:p>
      <w:pPr>
        <w:pStyle w:val="Heading2"/>
      </w:pPr>
      <w:r>
        <w:rPr>
          <w:rFonts w:ascii="Malgun Gothic" w:hAnsi="Malgun Gothic" w:eastAsia="맑은 고딕"/>
          <w:color w:val="111827"/>
        </w:rPr>
        <w:t>FAQ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Q1. 이 이슈가 중요한 이유는 무엇인가요?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A. 미국 현물 비트코인 ETF는 시장 자금 흐름을 보여주는 대표 지표 중 하나라서, 유입과 유출 변화가 가격 심리에 영향을 줄 수 있습니다.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Q2. 이 이슈와 함께 봐야 할 지표나 뉴스는 무엇인가요?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A. 비트코인 현물 ETF 순유입, 비트코인 가격 6만 달러 지지 여부, 미국 금리 전망, 달러 흐름, 기술주 투자심리를 함께 보는 것이 좋습니다.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Q3. 단기적으로 주의할 점은 무엇인가요?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A. 하루 유입만으로 회복을 확신하기보다 며칠 이상 자금 유입이 이어지는지 확인해야 합니다. 변동성이 큰 구간에서는 무리한 추격 매수나 레버리지 투자를 조심해야 합니다.</w:t>
      </w:r>
    </w:p>
    <w:p>
      <w:pPr>
        <w:pStyle w:val="Heading2"/>
      </w:pPr>
      <w:r>
        <w:rPr>
          <w:rFonts w:ascii="Malgun Gothic" w:hAnsi="Malgun Gothic" w:eastAsia="맑은 고딕"/>
          <w:color w:val="111827"/>
        </w:rPr>
        <w:t>핵심 요약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미국 현물 비트코인 ETF가 10일 연속 유출 뒤 하루 유입으로 전환됐습니다.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다만 올해 누적 유출 부담이 남아 있어 추세 전환으로 단정하기는 어렵습니다.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비트코인 가격보다 ETF 자금 흐름, 금리, 기술주 투자심리를 함께 확인해야 합니다.</w:t>
      </w:r>
    </w:p>
    <w:p>
      <w:pPr>
        <w:pStyle w:val="NoteText"/>
        <w:shd w:val="clear" w:color="auto" w:fill="F8FAFC"/>
      </w:pPr>
      <w:r>
        <w:rPr>
          <w:rFonts w:ascii="Malgun Gothic" w:hAnsi="Malgun Gothic" w:eastAsia="맑은 고딕"/>
          <w:color w:val="111827"/>
        </w:rPr>
        <w:t>※ 이 글은 해외 경제 흐름을 이해하기 위한 참고용 콘텐츠입니다. 특정 종목이나 자산에 대한 투자 권유가 아니며, 투자 판단은 본인 책임입니다.</w:t>
      </w:r>
    </w:p>
    <w:sectPr>
      <w:pgSz w:w="11906" w:h="16838"/>
      <w:pgMar w:top="1134" w:right="1134" w:bottom="1134" w:left="1134" w:header="500" w:footer="500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Malgun Gothic" w:hAnsi="Malgun Gothic" w:eastAsia="맑은 고딕"/>
        <w:sz w:val="21"/>
        <w:szCs w:val="21"/>
        <w:color w:val="263241"/>
      </w:rPr>
    </w:rPrDefault>
    <w:pPrDefault>
      <w:pPr>
        <w:spacing w:after="140" w:line="400" w:lineRule="auto"/>
      </w:pPr>
    </w:pPrDefault>
  </w:docDefaults>
  <w:style w:type="paragraph" w:default="1" w:styleId="Normal">
    <w:name w:val="Normal"/>
    <w:qFormat/>
  </w:style>
  <w:style w:type="paragraph" w:styleId="Title">
    <w:name w:val="Title"/>
    <w:basedOn w:val="Normal"/>
    <w:next w:val="BodyText"/>
    <w:qFormat/>
    <w:pPr>
      <w:spacing w:after="180"/>
    </w:pPr>
    <w:rPr>
      <w:b/>
      <w:color w:val="111827"/>
      <w:sz w:val="40"/>
      <w:szCs w:val="40"/>
    </w:rPr>
  </w:style>
  <w:style w:type="paragraph" w:styleId="Heading2">
    <w:name w:val="Heading 2"/>
    <w:basedOn w:val="Normal"/>
    <w:next w:val="BodyText"/>
    <w:qFormat/>
    <w:pPr>
      <w:spacing w:before="260" w:after="100"/>
      <w:keepNext/>
    </w:pPr>
    <w:rPr>
      <w:b/>
      <w:color w:val="1D4ED8"/>
      <w:sz w:val="30"/>
      <w:szCs w:val="30"/>
    </w:rPr>
  </w:style>
  <w:style w:type="paragraph" w:styleId="Heading3">
    <w:name w:val="Heading 3"/>
    <w:basedOn w:val="Normal"/>
    <w:next w:val="BodyText"/>
    <w:qFormat/>
    <w:pPr>
      <w:spacing w:before="200" w:after="80"/>
      <w:keepNext/>
    </w:pPr>
    <w:rPr>
      <w:b/>
      <w:color w:val="6D28D9"/>
      <w:sz w:val="26"/>
      <w:szCs w:val="26"/>
    </w:rPr>
  </w:style>
  <w:style w:type="paragraph" w:styleId="BodyText">
    <w:name w:val="Body Text"/>
    <w:basedOn w:val="Normal"/>
    <w:pPr>
      <w:spacing w:after="140" w:line="400" w:lineRule="auto"/>
    </w:pPr>
    <w:rPr>
      <w:sz w:val="21"/>
      <w:szCs w:val="21"/>
    </w:rPr>
  </w:style>
  <w:style w:type="paragraph" w:styleId="ListText">
    <w:name w:val="List Text"/>
    <w:basedOn w:val="BodyText"/>
    <w:pPr>
      <w:ind w:left="360" w:hanging="180"/>
    </w:pPr>
  </w:style>
  <w:style w:type="paragraph" w:styleId="NoteText">
    <w:name w:val="Note Text"/>
    <w:basedOn w:val="BodyText"/>
    <w:pPr>
      <w:spacing w:after="120"/>
      <w:shd w:val="clear" w:color="auto" w:fill="F8FAFC"/>
    </w:pPr>
    <w:rPr>
      <w:color w:val="64748B"/>
      <w:sz w:val="19"/>
      <w:szCs w:val="19"/>
    </w:rPr>
  </w:style>
  <w:style w:type="paragraph" w:styleId="MetaText">
    <w:name w:val="Meta Text"/>
    <w:basedOn w:val="Normal"/>
    <w:pPr>
      <w:spacing w:after="180"/>
    </w:pPr>
    <w:rPr>
      <w:color w:val="64748B"/>
      <w:sz w:val="18"/>
      <w:szCs w:val="18"/>
    </w:rPr>
  </w:style>
  <w:style w:type="paragraph" w:styleId="TableText">
    <w:name w:val="Table Text"/>
    <w:basedOn w:val="Normal"/>
    <w:pPr>
      <w:spacing w:after="60" w:line="300" w:lineRule="auto"/>
    </w:pPr>
    <w:rPr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NEO AI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비트코인 ETF 유입 재개, 반등 신호보다 자금 흐름 확인이 먼저</dc:title>
  <dc:creator>NEO AI 콘텐츠 센터</dc:creator>
  <cp:lastModifiedBy>NEO AI 콘텐츠 센터</cp:lastModifiedBy>
  <dcterms:created xsi:type="dcterms:W3CDTF">2026-07-11T08:10:18Z</dcterms:created>
  <dcterms:modified xsi:type="dcterms:W3CDTF">2026-07-11T08:10:18Z</dcterms:modified>
</cp:coreProperties>
</file>