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rFonts w:ascii="Malgun Gothic" w:hAnsi="Malgun Gothic" w:eastAsia="맑은 고딕"/>
          <w:color w:val="111827"/>
        </w:rPr>
        <w:t>AI 반도체주 급등 뒤 흔들린 나스닥, 지금 확인할 변수</w:t>
      </w:r>
    </w:p>
    <w:p>
      <w:pPr>
        <w:pStyle w:val="MetaText"/>
      </w:pPr>
      <w:r>
        <w:rPr>
          <w:rFonts w:ascii="Malgun Gothic" w:hAnsi="Malgun Gothic" w:eastAsia="맑은 고딕"/>
          <w:color w:val="111827"/>
        </w:rPr>
        <w:t>플랫폼: 자동 선택 · 검색의도: 자동 분석 · 발행일: 2026-07-06 08:17:57</w:t>
      </w:r>
    </w:p>
    <w:p>
      <w:pPr>
        <w:pStyle w:val="Heading2"/>
      </w:pPr>
      <w:r>
        <w:rPr>
          <w:rFonts w:ascii="Malgun Gothic" w:hAnsi="Malgun Gothic" w:eastAsia="맑은 고딕"/>
          <w:color w:val="111827"/>
        </w:rPr>
        <w:t>복사용 본문</w:t>
      </w:r>
    </w:p>
    <w:p>
      <w:pPr>
        <w:pStyle w:val="BodyText"/>
        <w:shd w:val="clear" w:color="auto" w:fill="EFF6FF"/>
        <w:pBdr>
          <w:left w:val="single" w:sz="16" w:space="8" w:color="2563EB"/>
        </w:pBdr>
        <w:spacing w:before="120" w:after="160"/>
      </w:pPr>
      <w:r>
        <w:rPr>
          <w:rFonts w:ascii="Malgun Gothic" w:hAnsi="Malgun Gothic" w:eastAsia="맑은 고딕"/>
          <w:color w:val="111827"/>
        </w:rPr>
        <w:t>최근 해외 시장에서 가장 눈에 띄는 이슈는 AI 반도체주가 올해 큰 폭으로 오른 뒤 일부 차익실현과 업종 순환 압력을 받고 있다는 점입니다. 나스닥은 칩 관련 종목 약세에 흔들렸고, 투자자들은 AI 인프라 투자 기대가 계속 이어질지, 아니면 단기 과열 구간을 지나는지 확인하는 분위기입니다.</w:t>
      </w:r>
    </w:p>
    <w:p>
      <w:pPr>
        <w:pStyle w:val="Heading2"/>
      </w:pPr>
      <w:r>
        <w:rPr>
          <w:rFonts w:ascii="Malgun Gothic" w:hAnsi="Malgun Gothic" w:eastAsia="맑은 고딕"/>
          <w:color w:val="111827"/>
        </w:rPr>
        <w:t>왜 지금 주목받을까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AI 반도체주는 올해 미국 증시 상승을 이끈 핵심 축이었습니다. 하지만 7월 초 들어 반도체 지수가 이틀 연속 크게 밀렸고, 기술주 안에서도 소프트웨어·대형 플랫폼·반도체 간 흐름이 갈라지는 모습이 나타났습니다. 특히 대형 기술기업들이 AI 설비투자에 막대한 비용을 쓰는 만큼, 시장은 “투자한 만큼 수익화가 가능한가”를 다시 따져보고 있습니다.</w:t>
      </w:r>
    </w:p>
    <w:p>
      <w:pPr>
        <w:pStyle w:val="Heading2"/>
      </w:pPr>
      <w:r>
        <w:rPr>
          <w:rFonts w:ascii="Malgun Gothic" w:hAnsi="Malgun Gothic" w:eastAsia="맑은 고딕"/>
          <w:color w:val="111827"/>
        </w:rPr>
        <w:t>핵심 내용 정리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구분	확인 내용	해석 포인트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반도체주 흐름	미국 반도체 지수는 7월 1일 6.3%, 7월 2일 5.4% 하락했습니다.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급락 자체보다 올해 급등 뒤 차익실현이 나왔는지가 중요합니다.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나스닥 영향	다우는 고용지표 둔화에 힘입어 올랐지만, 나스닥은 칩주 약세로 하락했습니다.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시장 전체보다 업종별 온도 차가 커졌습니다.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AI 투자 부담	대형 기술기업들의 AI 설비투자 규모가 커지면서 수익화 확인 요구도 커지고 있습니다.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Business Insider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AI 기대감만으로 모든 종목이 함께 오르기는 어려운 구간입니다.</w:t>
      </w:r>
    </w:p>
    <w:p>
      <w:pPr>
        <w:pStyle w:val="Heading2"/>
      </w:pPr>
      <w:r>
        <w:rPr>
          <w:rFonts w:ascii="Malgun Gothic" w:hAnsi="Malgun Gothic" w:eastAsia="맑은 고딕"/>
          <w:color w:val="111827"/>
        </w:rPr>
        <w:t>시장에 줄 수 있는 영향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단기적으로는 반도체, AI 인프라, 데이터센터 관련 종목의 변동성이 커질 수 있습니다. 반대로 금리 부담이 완화되거나 대형 기술기업 실적에서 AI 매출 기여가 확인되면 조정이 완만해질 가능성도 있습니다. 다만 지금은 “AI가 끝났다”보다 “AI 안에서도 선별이 시작됐다”에 가깝게 보는 편이 무리 없는 해석입니다.</w:t>
      </w:r>
    </w:p>
    <w:p>
      <w:pPr>
        <w:pStyle w:val="Heading2"/>
      </w:pPr>
      <w:r>
        <w:rPr>
          <w:rFonts w:ascii="Malgun Gothic" w:hAnsi="Malgun Gothic" w:eastAsia="맑은 고딕"/>
          <w:color w:val="111827"/>
        </w:rPr>
        <w:t>앞으로 확인할 변수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가장 먼저 볼 것은 실적 시즌입니다. 반도체 기업은 주문·마진·재고 흐름이 중요하고, 플랫폼 기업은 AI 투자비와 실제 매출 연결성이 핵심입니다. 여기에 미국 고용, 물가, 연준 금리 전망도 함께 봐야 합니다. 고용 둔화는 금리 부담을 낮출 수 있지만, 경기 둔화 우려로 이어질 수도 있기 때문입니다.</w:t>
      </w:r>
    </w:p>
    <w:p>
      <w:pPr>
        <w:pStyle w:val="Heading2"/>
      </w:pPr>
      <w:r>
        <w:rPr>
          <w:rFonts w:ascii="Malgun Gothic" w:hAnsi="Malgun Gothic" w:eastAsia="맑은 고딕"/>
          <w:color w:val="111827"/>
        </w:rPr>
        <w:t>개인 투자자가 조심할 점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AI 관련 종목이라고 해서 모두 같은 방향으로 움직이지 않습니다. 이미 많이 오른 종목은 좋은 뉴스에도 쉬어갈 수 있고, 단기 급락 후 반등만 보고 따라가는 매매는 위험할 수 있습니다. 종목을 볼 때는 주가 상승률보다 실적, 현금흐름, 고객사 투자 계획, 밸류에이션을 함께 확인하는 것이 좋습니다.</w:t>
      </w:r>
    </w:p>
    <w:p>
      <w:pPr>
        <w:pStyle w:val="Heading2"/>
      </w:pPr>
      <w:r>
        <w:rPr>
          <w:rFonts w:ascii="Malgun Gothic" w:hAnsi="Malgun Gothic" w:eastAsia="맑은 고딕"/>
          <w:color w:val="111827"/>
        </w:rPr>
        <w:t>FAQ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Q1. 이 이슈가 중요한 이유는 무엇인가요?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A. 올해 미국 증시 상승을 이끈 AI 반도체주가 흔들리면 나스닥과 성장주 전반의 투자심리에 영향을 줄 수 있기 때문입니다.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Q2. 이 이슈와 함께 봐야 할 지표나 뉴스는 무엇인가요?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A. 반도체 기업 실적, 대형 기술기업의 AI 설비투자 계획, 미국 고용·물가 지표, 연준 금리 전망을 함께 확인하는 것이 좋습니다.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Q3. 단기적으로 주의할 점은 무엇인가요?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A. 급락 후 반등이 나와도 추세 회복인지 단기 기술적 반등인지 구분해야 합니다. 한 종목에 집중하기보다 변동성 관리가 필요합니다.</w:t>
      </w:r>
    </w:p>
    <w:p>
      <w:pPr>
        <w:pStyle w:val="Heading2"/>
      </w:pPr>
      <w:r>
        <w:rPr>
          <w:rFonts w:ascii="Malgun Gothic" w:hAnsi="Malgun Gothic" w:eastAsia="맑은 고딕"/>
          <w:color w:val="111827"/>
        </w:rPr>
        <w:t>핵심 요약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AI 반도체주는 올해 강하게 올랐지만 7월 초 차익실현 압력이 커졌습니다.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나스닥은 칩주 약세에 흔들렸고, 시장은 AI 투자 수익화를 더 엄격하게 보고 있습니다.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단기 매매보다 실적, 투자비, 금리 전망을 함께 확인하는 접근이 필요합니다.</w:t>
      </w:r>
    </w:p>
    <w:p>
      <w:pPr>
        <w:pStyle w:val="NoteText"/>
        <w:shd w:val="clear" w:color="auto" w:fill="F8FAFC"/>
      </w:pPr>
      <w:r>
        <w:rPr>
          <w:rFonts w:ascii="Malgun Gothic" w:hAnsi="Malgun Gothic" w:eastAsia="맑은 고딕"/>
          <w:color w:val="111827"/>
        </w:rPr>
        <w:t>※ 이 글은 해외 경제 흐름을 이해하기 위한 참고용 콘텐츠입니다. 특정 종목이나 자산에 대한 투자 권유가 아니며, 투자 판단은 본인 책임입니다.</w:t>
      </w:r>
    </w:p>
    <w:sectPr>
      <w:pgSz w:w="11906" w:h="16838"/>
      <w:pgMar w:top="1134" w:right="1134" w:bottom="1134" w:left="1134" w:header="500" w:footer="500" w:gutter="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Malgun Gothic" w:hAnsi="Malgun Gothic" w:eastAsia="맑은 고딕"/>
        <w:sz w:val="21"/>
        <w:szCs w:val="21"/>
        <w:color w:val="263241"/>
      </w:rPr>
    </w:rPrDefault>
    <w:pPrDefault>
      <w:pPr>
        <w:spacing w:after="140" w:line="400" w:lineRule="auto"/>
      </w:pPr>
    </w:pPrDefault>
  </w:docDefaults>
  <w:style w:type="paragraph" w:default="1" w:styleId="Normal">
    <w:name w:val="Normal"/>
    <w:qFormat/>
  </w:style>
  <w:style w:type="paragraph" w:styleId="Title">
    <w:name w:val="Title"/>
    <w:basedOn w:val="Normal"/>
    <w:next w:val="BodyText"/>
    <w:qFormat/>
    <w:pPr>
      <w:spacing w:after="180"/>
    </w:pPr>
    <w:rPr>
      <w:b/>
      <w:color w:val="111827"/>
      <w:sz w:val="40"/>
      <w:szCs w:val="40"/>
    </w:rPr>
  </w:style>
  <w:style w:type="paragraph" w:styleId="Heading2">
    <w:name w:val="Heading 2"/>
    <w:basedOn w:val="Normal"/>
    <w:next w:val="BodyText"/>
    <w:qFormat/>
    <w:pPr>
      <w:spacing w:before="260" w:after="100"/>
      <w:keepNext/>
    </w:pPr>
    <w:rPr>
      <w:b/>
      <w:color w:val="1D4ED8"/>
      <w:sz w:val="30"/>
      <w:szCs w:val="30"/>
    </w:rPr>
  </w:style>
  <w:style w:type="paragraph" w:styleId="Heading3">
    <w:name w:val="Heading 3"/>
    <w:basedOn w:val="Normal"/>
    <w:next w:val="BodyText"/>
    <w:qFormat/>
    <w:pPr>
      <w:spacing w:before="200" w:after="80"/>
      <w:keepNext/>
    </w:pPr>
    <w:rPr>
      <w:b/>
      <w:color w:val="6D28D9"/>
      <w:sz w:val="26"/>
      <w:szCs w:val="26"/>
    </w:rPr>
  </w:style>
  <w:style w:type="paragraph" w:styleId="BodyText">
    <w:name w:val="Body Text"/>
    <w:basedOn w:val="Normal"/>
    <w:pPr>
      <w:spacing w:after="140" w:line="400" w:lineRule="auto"/>
    </w:pPr>
    <w:rPr>
      <w:sz w:val="21"/>
      <w:szCs w:val="21"/>
    </w:rPr>
  </w:style>
  <w:style w:type="paragraph" w:styleId="ListText">
    <w:name w:val="List Text"/>
    <w:basedOn w:val="BodyText"/>
    <w:pPr>
      <w:ind w:left="360" w:hanging="180"/>
    </w:pPr>
  </w:style>
  <w:style w:type="paragraph" w:styleId="NoteText">
    <w:name w:val="Note Text"/>
    <w:basedOn w:val="BodyText"/>
    <w:pPr>
      <w:spacing w:after="120"/>
      <w:shd w:val="clear" w:color="auto" w:fill="F8FAFC"/>
    </w:pPr>
    <w:rPr>
      <w:color w:val="64748B"/>
      <w:sz w:val="19"/>
      <w:szCs w:val="19"/>
    </w:rPr>
  </w:style>
  <w:style w:type="paragraph" w:styleId="MetaText">
    <w:name w:val="Meta Text"/>
    <w:basedOn w:val="Normal"/>
    <w:pPr>
      <w:spacing w:after="180"/>
    </w:pPr>
    <w:rPr>
      <w:color w:val="64748B"/>
      <w:sz w:val="18"/>
      <w:szCs w:val="18"/>
    </w:rPr>
  </w:style>
  <w:style w:type="paragraph" w:styleId="TableText">
    <w:name w:val="Table Text"/>
    <w:basedOn w:val="Normal"/>
    <w:pPr>
      <w:spacing w:after="60" w:line="300" w:lineRule="auto"/>
    </w:pPr>
    <w:rPr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NEO AI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 반도체주 급등 뒤 흔들린 나스닥, 지금 확인할 변수</dc:title>
  <dc:creator>NEO AI 콘텐츠 센터</dc:creator>
  <cp:lastModifiedBy>NEO AI 콘텐츠 센터</cp:lastModifiedBy>
  <dcterms:created xsi:type="dcterms:W3CDTF">2026-07-11T08:13:44Z</dcterms:created>
  <dcterms:modified xsi:type="dcterms:W3CDTF">2026-07-11T08:13:44Z</dcterms:modified>
</cp:coreProperties>
</file>