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미·EU·중국 AI 규제와 저작권 소송, 기업 리스크 커진다</w:t>
      </w:r>
    </w:p>
    <w:p>
      <w:pPr>
        <w:pStyle w:val="MetaText"/>
      </w:pPr>
      <w:r>
        <w:rPr>
          <w:rFonts w:ascii="Malgun Gothic" w:hAnsi="Malgun Gothic" w:eastAsia="맑은 고딕"/>
          <w:color w:val="111827"/>
        </w:rPr>
        <w:t>플랫폼: 자동 선택 · 검색의도: 자동 분석 · 발행일: 2026-07-05 13:20:56</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AI 규제 이슈의 핵심은 미국은 연방·주 규제 충돌과 저작권 소송, EU는 AI Act 집행과 저작권·투명성 의무, 중국은 생성형 AI 등록·심사와 권리 침해 단속으로 압축됩니다. 특히 미국에서는 FTC의 AI 챗봇 정책 제안과 저작권청장 거취 문제가 동시에 부각되며, AI 학습 데이터와 표현물 규제가 시장 변수로 커졌습니다. EU는 범용 AI 모델 제공자에게 투명성·저작권·안전 의무를 적용하는 흐름을 유지하고 있고, 중국은 생성형 AI 서비스의 신고·등록과 초상·음성·저작권 침해 문제를 함께 다루는 방향입니다.</w:t>
      </w:r>
    </w:p>
    <w:p>
      <w:pPr>
        <w:pStyle w:val="BodyText"/>
      </w:pPr>
      <w:r>
        <w:rPr>
          <w:rFonts w:ascii="Malgun Gothic" w:hAnsi="Malgun Gothic" w:eastAsia="맑은 고딕"/>
          <w:color w:val="111827"/>
        </w:rPr>
        <w:t>chinaipr.mofcom.gov.cn</w:t>
      </w:r>
    </w:p>
    <w:p>
      <w:pPr>
        <w:pStyle w:val="Heading2"/>
      </w:pPr>
      <w:r>
        <w:rPr>
          <w:rFonts w:ascii="Malgun Gothic" w:hAnsi="Malgun Gothic" w:eastAsia="맑은 고딕"/>
          <w:color w:val="111827"/>
        </w:rPr>
        <w:t>왜 지금 AI 규제이 주목받을까</w:t>
      </w:r>
    </w:p>
    <w:p>
      <w:pPr>
        <w:pStyle w:val="BodyText"/>
      </w:pPr>
      <w:r>
        <w:rPr>
          <w:rFonts w:ascii="Malgun Gothic" w:hAnsi="Malgun Gothic" w:eastAsia="맑은 고딕"/>
          <w:color w:val="111827"/>
        </w:rPr>
        <w:t>AI 규제가 다시 주목받는 이유는 단순히 “새 법이 생긴다”는 문제가 아니라, AI 기업의 비용 구조와 서비스 출시 속도, 데이터 확보 방식, 콘텐츠 저작권 분쟁에 직접 영향을 주기 때문입니다.</w:t>
      </w:r>
    </w:p>
    <w:p>
      <w:pPr>
        <w:pStyle w:val="BodyText"/>
      </w:pPr>
      <w:r>
        <w:rPr>
          <w:rFonts w:ascii="Malgun Gothic" w:hAnsi="Malgun Gothic" w:eastAsia="맑은 고딕"/>
          <w:color w:val="111827"/>
        </w:rPr>
        <w:t>미국에서는 연방 차원의 단일 AI 법보다 FTC, 법원, 저작권청, 주정부 규제가 동시에 움직이고 있습니다. Reuters에 따르면 FTC는 AI 챗봇이 특정 “이념적 목적”을 반영하는 방식으로 응답할 경우 소비자보호법상 문제가 될 수 있다는 정책 제안을 내놨고, 의견 수렴은 2026년 7월 31일까지 진행됩니다. 이 내용은 AI 기업들이 차별 방지, 안전 필터, 편향 완화 기능을 설계할 때 새로운 부담으로 작용할 수 있습니다.</w:t>
      </w:r>
    </w:p>
    <w:p>
      <w:pPr>
        <w:pStyle w:val="BodyText"/>
      </w:pPr>
      <w:r>
        <w:rPr>
          <w:rFonts w:ascii="Malgun Gothic" w:hAnsi="Malgun Gothic" w:eastAsia="맑은 고딕"/>
          <w:color w:val="111827"/>
        </w:rPr>
        <w:t>저작권 쪽에서는 AI 학습 데이터 문제가 계속 커지고 있습니다. 미국 연방대법원은 2026년 6월 30일, 도널드 트럼프 대통령이 미국 저작권청장 겸 저작권등록관인 시라 펄머터를 해임하려 한 사건에서 하급심 판단을 당장 뒤집지 않았습니다. Reuters 보도에 따르면 펄머터가 이끄는 저작권청은 생성형 AI 학습에 사용된 일부 무단 저작물 이용이 위법할 수 있다는 보고서를 냈고, 이 사안은 AI 저작권 논쟁과 맞물려 시장의 관심을 받고 있습니다.</w:t>
      </w:r>
    </w:p>
    <w:p>
      <w:pPr>
        <w:pStyle w:val="BodyText"/>
      </w:pPr>
      <w:r>
        <w:rPr>
          <w:rFonts w:ascii="Malgun Gothic" w:hAnsi="Malgun Gothic" w:eastAsia="맑은 고딕"/>
          <w:color w:val="111827"/>
        </w:rPr>
        <w:t>EU는 상대적으로 제도화가 빠릅니다. 유럽위원회는 범용 AI 모델 제공자에게 적용되는 AI Act 의무를 설명하는 지침을 내고, 2026년 8월 2일부터 집행 권한이 적용된다고 안내했습니다. 또 범용 AI 행동강령은 투명성, 저작권, 안전·보안 세 장으로 구성되어 있어 대형 AI 모델 기업의 문서화와 저작권 대응 체계를 요구하는 방향으로 운영됩니다.</w:t>
      </w:r>
    </w:p>
    <w:p>
      <w:pPr>
        <w:pStyle w:val="BodyText"/>
      </w:pPr>
      <w:r>
        <w:rPr>
          <w:rFonts w:ascii="Malgun Gothic" w:hAnsi="Malgun Gothic" w:eastAsia="맑은 고딕"/>
          <w:color w:val="111827"/>
        </w:rPr>
        <w:t>디지털 전략</w:t>
      </w:r>
    </w:p>
    <w:p>
      <w:pPr>
        <w:pStyle w:val="BodyText"/>
      </w:pPr>
      <w:r>
        <w:rPr>
          <w:rFonts w:ascii="Malgun Gothic" w:hAnsi="Malgun Gothic" w:eastAsia="맑은 고딕"/>
          <w:color w:val="111827"/>
        </w:rPr>
        <w:t>중국은 생성형 AI 서비스의 산업 육성과 통제를 병행하고 있습니다. 중국 정부 자료에 따르면 2023년 생성형 AI 서비스 관리 규정은 국가안보, 공공이익, 개인·법인 권리 보호를 목적으로 제시됐고, 이후 등록된 생성형 AI 모델 수와 이용자 규모가 빠르게 늘었습니다. 2024년 기준 중국 내 공중에게 제공되는 생성형 AI 서비스 모델은 190개 이상, 등록 이용자는 6억 명을 넘었다고 중국 당국은 밝혔습니다.</w:t>
      </w:r>
    </w:p>
    <w:p>
      <w:pPr>
        <w:pStyle w:val="BodyText"/>
      </w:pPr>
      <w:r>
        <w:rPr>
          <w:rFonts w:ascii="Malgun Gothic" w:hAnsi="Malgun Gothic" w:eastAsia="맑은 고딕"/>
          <w:color w:val="111827"/>
        </w:rPr>
        <w:t>중국 국무원</w:t>
      </w:r>
    </w:p>
    <w:p>
      <w:pPr>
        <w:pStyle w:val="Heading2"/>
      </w:pPr>
      <w:r>
        <w:rPr>
          <w:rFonts w:ascii="Malgun Gothic" w:hAnsi="Malgun Gothic" w:eastAsia="맑은 고딕"/>
          <w:color w:val="111827"/>
        </w:rPr>
        <w:t>핵심 이슈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미국 AI 규제	FTC가 AI 챗봇의 편향 방지·응답 조정 방식이 소비자보호법상 문제가 될 수 있다는 정책 제안을 내고 2026년 7월 31일까지 의견을 받습니다.</w:t>
      </w:r>
    </w:p>
    <w:p>
      <w:pPr>
        <w:pStyle w:val="BodyText"/>
      </w:pPr>
      <w:r>
        <w:rPr>
          <w:rFonts w:ascii="Malgun Gothic" w:hAnsi="Malgun Gothic" w:eastAsia="맑은 고딕"/>
          <w:color w:val="111827"/>
        </w:rPr>
        <w:t>AI 기업은 안전 필터와 편향 완화 기능을 단순한 기술 문제가 아니라 법적 리스크로 관리해야 할 가능성이 커졌습니다.</w:t>
      </w:r>
    </w:p>
    <w:p>
      <w:pPr>
        <w:pStyle w:val="BodyText"/>
      </w:pPr>
      <w:r>
        <w:rPr>
          <w:rFonts w:ascii="Malgun Gothic" w:hAnsi="Malgun Gothic" w:eastAsia="맑은 고딕"/>
          <w:color w:val="111827"/>
        </w:rPr>
        <w:t>미국 저작권	미국 연방대법원은 저작권청장 해임 관련 하급심 결정을 당장 뒤집지 않았고, 배경에는 생성형 AI 학습 데이터의 무단 이용 가능성을 다룬 저작권청 보고서가 있습니다.</w:t>
      </w:r>
    </w:p>
    <w:p>
      <w:pPr>
        <w:pStyle w:val="BodyText"/>
      </w:pPr>
      <w:r>
        <w:rPr>
          <w:rFonts w:ascii="Malgun Gothic" w:hAnsi="Malgun Gothic" w:eastAsia="맑은 고딕"/>
          <w:color w:val="111827"/>
        </w:rPr>
        <w:t>AI 학습 데이터의 “공정 이용” 인정 범위가 명확히 정리되지 않은 상태라 소송과 정책 변화가 계속 시장 변수로 남아 있습니다.</w:t>
      </w:r>
    </w:p>
    <w:p>
      <w:pPr>
        <w:pStyle w:val="BodyText"/>
      </w:pPr>
      <w:r>
        <w:rPr>
          <w:rFonts w:ascii="Malgun Gothic" w:hAnsi="Malgun Gothic" w:eastAsia="맑은 고딕"/>
          <w:color w:val="111827"/>
        </w:rPr>
        <w:t>EU AI Act	EU 범용 AI 모델 의무는 2025년 8월 2일부터 적용됐고, 2026년 8월 2일부터 유럽위원회의 집행 권한이 적용됩니다. 기존 모델은 2027년 8월 2일까지 준수 기한이 안내되어 있습니다.</w:t>
      </w:r>
    </w:p>
    <w:p>
      <w:pPr>
        <w:pStyle w:val="BodyText"/>
      </w:pPr>
      <w:r>
        <w:rPr>
          <w:rFonts w:ascii="Malgun Gothic" w:hAnsi="Malgun Gothic" w:eastAsia="맑은 고딕"/>
          <w:color w:val="111827"/>
        </w:rPr>
        <w:t>디지털 전략</w:t>
      </w:r>
    </w:p>
    <w:p>
      <w:pPr>
        <w:pStyle w:val="BodyText"/>
      </w:pPr>
      <w:r>
        <w:rPr>
          <w:rFonts w:ascii="Malgun Gothic" w:hAnsi="Malgun Gothic" w:eastAsia="맑은 고딕"/>
          <w:color w:val="111827"/>
        </w:rPr>
        <w:t>OpenAI, Google, Microsoft, Anthropic, Mistral 등 EU 시장에 서비스를 제공하는 기업은 문서화, 저작권 정책, 안전성 관리 부담이 커집니다.</w:t>
      </w:r>
    </w:p>
    <w:p>
      <w:pPr>
        <w:pStyle w:val="BodyText"/>
      </w:pPr>
      <w:r>
        <w:rPr>
          <w:rFonts w:ascii="Malgun Gothic" w:hAnsi="Malgun Gothic" w:eastAsia="맑은 고딕"/>
          <w:color w:val="111827"/>
        </w:rPr>
        <w:t>EU 행동강령	EU 범용 AI 행동강령은 투명성, 저작권, 안전·보안으로 구성되며, 서명 기업은 AI Act 준수 입증에서 더 큰 법적 확실성을 얻을 수 있습니다.</w:t>
      </w:r>
    </w:p>
    <w:p>
      <w:pPr>
        <w:pStyle w:val="BodyText"/>
      </w:pPr>
      <w:r>
        <w:rPr>
          <w:rFonts w:ascii="Malgun Gothic" w:hAnsi="Malgun Gothic" w:eastAsia="맑은 고딕"/>
          <w:color w:val="111827"/>
        </w:rPr>
        <w:t>디지털 전략</w:t>
      </w:r>
    </w:p>
    <w:p>
      <w:pPr>
        <w:pStyle w:val="BodyText"/>
      </w:pPr>
      <w:r>
        <w:rPr>
          <w:rFonts w:ascii="Malgun Gothic" w:hAnsi="Malgun Gothic" w:eastAsia="맑은 고딕"/>
          <w:color w:val="111827"/>
        </w:rPr>
        <w:t>자율 규범처럼 보이지만 실제로는 글로벌 AI 기업의 컴플라이언스 기준으로 작용할 수 있습니다.</w:t>
      </w:r>
    </w:p>
    <w:p>
      <w:pPr>
        <w:pStyle w:val="BodyText"/>
      </w:pPr>
      <w:r>
        <w:rPr>
          <w:rFonts w:ascii="Malgun Gothic" w:hAnsi="Malgun Gothic" w:eastAsia="맑은 고딕"/>
          <w:color w:val="111827"/>
        </w:rPr>
        <w:t>EU 규제 완화 논의	Reuters는 EU 국가와 유럽의회 협상단이 고위험 AI 규정 적용 시점을 2027년 12월 2일로 미루는 잠정 합의에 도달했다고 보도했습니다. 다만 공식 승인 절차가 남아 있습니다.</w:t>
      </w:r>
    </w:p>
    <w:p>
      <w:pPr>
        <w:pStyle w:val="BodyText"/>
      </w:pPr>
      <w:r>
        <w:rPr>
          <w:rFonts w:ascii="Malgun Gothic" w:hAnsi="Malgun Gothic" w:eastAsia="맑은 고딕"/>
          <w:color w:val="111827"/>
        </w:rPr>
        <w:t>EU도 강한 규제와 산업 경쟁력 사이에서 속도 조절을 하고 있어, 최종 시행 일정은 계속 확인이 필요합니다.</w:t>
      </w:r>
    </w:p>
    <w:p>
      <w:pPr>
        <w:pStyle w:val="BodyText"/>
      </w:pPr>
      <w:r>
        <w:rPr>
          <w:rFonts w:ascii="Malgun Gothic" w:hAnsi="Malgun Gothic" w:eastAsia="맑은 고딕"/>
          <w:color w:val="111827"/>
        </w:rPr>
        <w:t>중국 AI 규제	중국은 2023년 생성형 AI 규정을 통해 서비스의 표준화, 국가안보, 공공이익, 권리 보호를 강조했고, 생성형 AI 서비스 등록 체계를 운영하고 있습니다.</w:t>
      </w:r>
    </w:p>
    <w:p>
      <w:pPr>
        <w:pStyle w:val="BodyText"/>
      </w:pPr>
      <w:r>
        <w:rPr>
          <w:rFonts w:ascii="Malgun Gothic" w:hAnsi="Malgun Gothic" w:eastAsia="맑은 고딕"/>
          <w:color w:val="111827"/>
        </w:rPr>
        <w:t>중국 국무원</w:t>
      </w:r>
    </w:p>
    <w:p>
      <w:pPr>
        <w:pStyle w:val="BodyText"/>
      </w:pPr>
      <w:r>
        <w:rPr>
          <w:rFonts w:ascii="Malgun Gothic" w:hAnsi="Malgun Gothic" w:eastAsia="맑은 고딕"/>
          <w:color w:val="111827"/>
        </w:rPr>
        <w:t>미국·EU와 달리 출시 전 관리, 콘텐츠 통제, 보안 심사 성격이 강해 중국 내 AI 서비스는 규제 적합성이 사업 진입 조건이 됩니다.</w:t>
      </w:r>
    </w:p>
    <w:p>
      <w:pPr>
        <w:pStyle w:val="BodyText"/>
      </w:pPr>
      <w:r>
        <w:rPr>
          <w:rFonts w:ascii="Malgun Gothic" w:hAnsi="Malgun Gothic" w:eastAsia="맑은 고딕"/>
          <w:color w:val="111827"/>
        </w:rPr>
        <w:t>중국 저작권·초상권	중국에서는 AI 드라마와 숏폼 콘텐츠에서 얼굴·음성·의상·메이크업을 무단 복제했다는 논란이 늘고 있고, 일부 플랫폼은 관련 콘텐츠 삭제와 업로드 제한 조치를 취했습니다.</w:t>
      </w:r>
    </w:p>
    <w:p>
      <w:pPr>
        <w:pStyle w:val="BodyText"/>
      </w:pPr>
      <w:r>
        <w:rPr>
          <w:rFonts w:ascii="Malgun Gothic" w:hAnsi="Malgun Gothic" w:eastAsia="맑은 고딕"/>
          <w:color w:val="111827"/>
        </w:rPr>
        <w:t>chinaipr.mofcom.gov.cn</w:t>
      </w:r>
    </w:p>
    <w:p>
      <w:pPr>
        <w:pStyle w:val="BodyText"/>
      </w:pPr>
      <w:r>
        <w:rPr>
          <w:rFonts w:ascii="Malgun Gothic" w:hAnsi="Malgun Gothic" w:eastAsia="맑은 고딕"/>
          <w:color w:val="111827"/>
        </w:rPr>
        <w:t>저작권뿐 아니라 초상권, 음성권, 플랫폼 심사 책임까지 함께 묶이는 흐름입니다.</w:t>
      </w:r>
    </w:p>
    <w:p>
      <w:pPr>
        <w:pStyle w:val="Heading2"/>
      </w:pPr>
      <w:r>
        <w:rPr>
          <w:rFonts w:ascii="Malgun Gothic" w:hAnsi="Malgun Gothic" w:eastAsia="맑은 고딕"/>
          <w:color w:val="111827"/>
        </w:rPr>
        <w:t>관련 시장과 종목</w:t>
      </w:r>
    </w:p>
    <w:p>
      <w:pPr>
        <w:pStyle w:val="BodyText"/>
      </w:pPr>
      <w:r>
        <w:rPr>
          <w:rFonts w:ascii="Malgun Gothic" w:hAnsi="Malgun Gothic" w:eastAsia="맑은 고딕"/>
          <w:color w:val="111827"/>
        </w:rPr>
        <w:t>AI 규제와 저작권 이슈는 투자 권유가 아니라 관련 업종의 리스크와 비용 구조를 이해하기 위한 참고 변수로 보는 것이 좋습니다.</w:t>
      </w:r>
    </w:p>
    <w:p>
      <w:pPr>
        <w:pStyle w:val="BodyText"/>
      </w:pPr>
      <w:r>
        <w:rPr>
          <w:rFonts w:ascii="Malgun Gothic" w:hAnsi="Malgun Gothic" w:eastAsia="맑은 고딕"/>
          <w:color w:val="111827"/>
        </w:rPr>
        <w:t>가장 직접적인 영향을 받는 곳은 생성형 AI 모델 기업입니다. OpenAI, Anthropic, Google, Microsoft, Meta, xAI, Mistral AI처럼 대형 언어모델과 범용 AI 서비스를 운영하는 기업은 학습 데이터 출처, 모델 문서화, 저작권 정책, 안전성 점검, AI 생성물 표시 의무 등을 더 촘촘히 관리해야 합니다. EU 행동강령 서명 기업 목록에는 Amazon, Anthropic, Google, IBM, Microsoft, Mistral AI, OpenAI 등이 포함되어 있으며, xAI는 안전·보안 장에 서명한 것으로 안내되어 있습니다.</w:t>
      </w:r>
    </w:p>
    <w:p>
      <w:pPr>
        <w:pStyle w:val="BodyText"/>
      </w:pPr>
      <w:r>
        <w:rPr>
          <w:rFonts w:ascii="Malgun Gothic" w:hAnsi="Malgun Gothic" w:eastAsia="맑은 고딕"/>
          <w:color w:val="111827"/>
        </w:rPr>
        <w:t>디지털 전략</w:t>
      </w:r>
    </w:p>
    <w:p>
      <w:pPr>
        <w:pStyle w:val="BodyText"/>
      </w:pPr>
      <w:r>
        <w:rPr>
          <w:rFonts w:ascii="Malgun Gothic" w:hAnsi="Malgun Gothic" w:eastAsia="맑은 고딕"/>
          <w:color w:val="111827"/>
        </w:rPr>
        <w:t>반도체와 클라우드 업종도 간접 영향을 받을 수 있습니다. AI 규제가 강해진다고 해서 AI 인프라 수요가 바로 줄어든다고 단정할 수는 없지만, 기업 고객이 규제 리스크를 줄이기 위해 데이터 거버넌스, 보안, 추적 가능한 학습 데이터, 지역별 클라우드 분리 운영을 요구할 가능성은 커집니다. 이 경우 AI 반도체, 클라우드, 보안 소프트웨어, 데이터 관리 솔루션 기업에는 규제 대응형 수요가 생길 수 있습니다.</w:t>
      </w:r>
    </w:p>
    <w:p>
      <w:pPr>
        <w:pStyle w:val="BodyText"/>
      </w:pPr>
      <w:r>
        <w:rPr>
          <w:rFonts w:ascii="Malgun Gothic" w:hAnsi="Malgun Gothic" w:eastAsia="맑은 고딕"/>
          <w:color w:val="111827"/>
        </w:rPr>
        <w:t>콘텐츠·미디어 업종도 함께 봐야 합니다. Reuters는 2026년 4월 Anthropic의 저작권 합의와 관련해 약 12만 명의 저작자와 권리자가 청구에 참여했다고 보도했습니다. 또 Bloomberg Law는 2026년 6월, 약 400개 신문을 운영하는 출판사들이 OpenAI와 Microsoft를 상대로 무단 콘텐츠 이용 소송을 제기했다고 전했습니다.</w:t>
      </w:r>
    </w:p>
    <w:p>
      <w:pPr>
        <w:pStyle w:val="BodyText"/>
      </w:pPr>
      <w:r>
        <w:rPr>
          <w:rFonts w:ascii="Malgun Gothic" w:hAnsi="Malgun Gothic" w:eastAsia="맑은 고딕"/>
          <w:color w:val="111827"/>
        </w:rPr>
        <w:t>가상자산과 비트코인 시장에는 직접 규제라기보다 위험자산 심리 측면에서 간접 영향이 있을 수 있습니다. AI 규제 뉴스가 빅테크 밸류에이션, 나스닥 기술주 심리, 반도체 투자 흐름에 영향을 주면 위험자산 전반의 변동성이 커질 수 있습니다. 다만 이를 비트코인 가격 방향으로 단정하기는 어렵고, 투자 참고용 변수로만 보는 것이 적절합니다.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앞으로 가장 먼저 볼 부분은 미국 FTC 정책 제안의 최종 내용입니다. FTC의 의견 수렴은 2026년 7월 31일까지로 알려져 있어, 이후 최종 정책이 AI 챗봇의 안전 필터와 편향 관리 방식에 어떤 기준을 적용할지 확인해야 합니다.</w:t>
      </w:r>
    </w:p>
    <w:p>
      <w:pPr>
        <w:pStyle w:val="BodyText"/>
      </w:pPr>
      <w:r>
        <w:rPr>
          <w:rFonts w:ascii="Malgun Gothic" w:hAnsi="Malgun Gothic" w:eastAsia="맑은 고딕"/>
          <w:color w:val="111827"/>
        </w:rPr>
        <w:t>두 번째는 미국의 AI 저작권 소송 흐름입니다. 저작권청 보고서, Anthropic 관련 합의와 소송, OpenAI·Microsoft를 상대로 한 출판사 소송은 모두 “AI 학습이 공정 이용인지, 무단 복제인지”라는 핵심 질문으로 연결됩니다. 법원 판단이 엇갈리거나 합의 규모가 커질 경우 AI 기업의 데이터 확보 비용이 높아질 수 있습니다.</w:t>
      </w:r>
    </w:p>
    <w:p>
      <w:pPr>
        <w:pStyle w:val="BodyText"/>
      </w:pPr>
      <w:r>
        <w:rPr>
          <w:rFonts w:ascii="Malgun Gothic" w:hAnsi="Malgun Gothic" w:eastAsia="맑은 고딕"/>
          <w:color w:val="111827"/>
        </w:rPr>
        <w:t>세 번째는 EU AI Act의 실제 집행 방식입니다. 유럽위원회는 범용 AI 모델 제공자 의무와 집행 일정을 안내했고, 행동강령은 저작권 정책과 투명성 문서화를 중요한 축으로 제시하고 있습니다. 다만 Reuters 보도처럼 일부 고위험 AI 규정 적용 일정은 완화 논의가 진행되고 있어, 최종 승인 여부와 세부 시행일은 계속 확인해야 합니다.</w:t>
      </w:r>
    </w:p>
    <w:p>
      <w:pPr>
        <w:pStyle w:val="BodyText"/>
      </w:pPr>
      <w:r>
        <w:rPr>
          <w:rFonts w:ascii="Malgun Gothic" w:hAnsi="Malgun Gothic" w:eastAsia="맑은 고딕"/>
          <w:color w:val="111827"/>
        </w:rPr>
        <w:t>디지털 전략</w:t>
      </w:r>
    </w:p>
    <w:p>
      <w:pPr>
        <w:pStyle w:val="BodyText"/>
      </w:pPr>
      <w:r>
        <w:rPr>
          <w:rFonts w:ascii="Malgun Gothic" w:hAnsi="Malgun Gothic" w:eastAsia="맑은 고딕"/>
          <w:color w:val="111827"/>
        </w:rPr>
        <w:t>네 번째는 중국의 AI 서비스 등록과 콘텐츠 단속입니다. 중국은 생성형 AI 서비스 등록 규모가 빠르게 커지는 동시에, AI로 만든 얼굴·음성·영상 콘텐츠의 권리 침해를 문제 삼고 있습니다. 중국 시장에 진출한 AI·콘텐츠 기업은 기술 성능뿐 아니라 심사, 등록, 표시, 권리 보호 체계를 함께 준비해야 합니다.</w:t>
      </w:r>
    </w:p>
    <w:p>
      <w:pPr>
        <w:pStyle w:val="BodyText"/>
      </w:pPr>
      <w:r>
        <w:rPr>
          <w:rFonts w:ascii="Malgun Gothic" w:hAnsi="Malgun Gothic" w:eastAsia="맑은 고딕"/>
          <w:color w:val="111827"/>
        </w:rPr>
        <w:t>중국 국무원</w:t>
      </w:r>
    </w:p>
    <w:p>
      <w:pPr>
        <w:pStyle w:val="BodyText"/>
      </w:pPr>
      <w:r>
        <w:rPr>
          <w:rFonts w:ascii="Malgun Gothic" w:hAnsi="Malgun Gothic" w:eastAsia="맑은 고딕"/>
          <w:color w:val="111827"/>
        </w:rPr>
        <w:t>마지막으로 기업 실적 발표에서 AI 규제 비용이 어떻게 언급되는지도 중요합니다. 클라우드 사용량, AI 데이터센터 투자, 저작권 라이선스 비용, 법률 비용, 콘텐츠 제휴 계약, 지역별 서비스 제한 여부가 실적 설명회에서 반복적으로 등장할 수 있습니다.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AI 규제 뉴스는 단기적으로 주가와 시장 심리를 흔들 수 있지만, 규제 하나만 보고 특정 종목의 방향을 단정하는 것은 위험합니다. 같은 규제라도 어떤 기업에는 비용 부담이 되고, 다른 기업에는 진입장벽이나 신뢰도 상승 요인이 될 수 있습니다.</w:t>
      </w:r>
    </w:p>
    <w:p>
      <w:pPr>
        <w:pStyle w:val="BodyText"/>
      </w:pPr>
      <w:r>
        <w:rPr>
          <w:rFonts w:ascii="Malgun Gothic" w:hAnsi="Malgun Gothic" w:eastAsia="맑은 고딕"/>
          <w:color w:val="111827"/>
        </w:rPr>
        <w:t>특히 저작권 소송은 결과가 나오기까지 시간이 오래 걸립니다. 소송 제기만으로 곧바로 위법이 확정되는 것은 아니며, 합의가 있었다고 해서 모든 쟁점이 법적으로 정리되는 것도 아닙니다. 미국의 공정 이용, EU의 저작권 정책 의무, 중국의 합법적 데이터 확보 기준은 서로 다르게 움직입니다.</w:t>
      </w:r>
    </w:p>
    <w:p>
      <w:pPr>
        <w:pStyle w:val="BodyText"/>
      </w:pPr>
      <w:r>
        <w:rPr>
          <w:rFonts w:ascii="Malgun Gothic" w:hAnsi="Malgun Gothic" w:eastAsia="맑은 고딕"/>
          <w:color w:val="111827"/>
        </w:rPr>
        <w:t>또한 AI 규제는 반도체, 클라우드, 소프트웨어, 콘텐츠, 플랫폼, 보안 산업을 동시에 건드립니다. 단기 뉴스에 과도하게 반응하기보다 “어떤 기업이 규제 대응 비용을 감당할 수 있는지”, “어떤 기업이 합법적 데이터와 고객 신뢰를 확보했는지”, “지역별 매출 노출도가 얼마나 큰지”를 함께 보는 편이 좋습니다.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AI 규제 이슈가 중요한 이유는 무엇인가요?</w:t>
      </w:r>
    </w:p>
    <w:p>
      <w:pPr>
        <w:pStyle w:val="BodyText"/>
      </w:pPr>
      <w:r>
        <w:rPr>
          <w:rFonts w:ascii="Malgun Gothic" w:hAnsi="Malgun Gothic" w:eastAsia="맑은 고딕"/>
          <w:color w:val="111827"/>
        </w:rPr>
        <w:t>A. AI 규제는 단순한 법률 뉴스가 아니라 AI 기업의 데이터 확보, 모델 출시, 서비스 운영, 저작권 비용, 콘텐츠 표시 의무에 직접 영향을 줍니다. 미국은 소송과 기관 규제가 동시에 움직이고, EU는 AI Act로 제도화가 빠르며, 중국은 등록·심사 중심으로 관리하고 있어 글로벌 AI 기업의 운영 전략이 달라질 수 있습니다.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미국 FTC의 최종 정책 방향, AI 저작권 소송 판결과 합의 규모, EU AI Act 집행 일정, EU 범용 AI 행동강령 서명 기업 변화, 중국 생성형 AI 서비스 등록과 콘텐츠 단속 사례를 함께 봐야 합니다. 기업 실적에서는 AI 법률 비용, 라이선스 계약, 클라우드·데이터센터 투자, 지역별 서비스 제한 언급이 중요합니다.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규제 뉴스가 나왔다고 해서 AI 산업 성장세가 바로 꺾인다고 단정하기는 어렵습니다. 반대로 규제가 완화된다고 해서 모든 AI 기업의 수익성이 좋아진다고 보기도 어렵습니다. 단기 주가 변동보다 각 기업의 데이터 출처, 저작권 대응, 규제 준수 능력, 현금흐름을 함께 확인하는 것이 필요합니다.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미국은 FTC의 AI 챗봇 정책 제안과 저작권청장 관련 법적 다툼이 맞물리며 AI 규제와 저작권 이슈가 동시에 커지고 있습니다.</w:t>
      </w:r>
    </w:p>
    <w:p>
      <w:pPr>
        <w:pStyle w:val="BodyText"/>
      </w:pPr>
      <w:r>
        <w:rPr>
          <w:rFonts w:ascii="Malgun Gothic" w:hAnsi="Malgun Gothic" w:eastAsia="맑은 고딕"/>
          <w:color w:val="111827"/>
        </w:rPr>
        <w:t>EU는 범용 AI 모델에 투명성, 저작권, 안전·보안 의무를 적용하는 방향을 유지하면서도 일부 고위험 AI 규정의 시행 시점 조정을 논의하고 있습니다.</w:t>
      </w:r>
    </w:p>
    <w:p>
      <w:pPr>
        <w:pStyle w:val="BodyText"/>
      </w:pPr>
      <w:r>
        <w:rPr>
          <w:rFonts w:ascii="Malgun Gothic" w:hAnsi="Malgun Gothic" w:eastAsia="맑은 고딕"/>
          <w:color w:val="111827"/>
        </w:rPr>
        <w:t>중국은 생성형 AI 서비스 등록·심사 체계를 운영하며, AI가 만든 영상·음성·얼굴 콘텐츠의 권리 침해 문제를 플랫폼 책임과 함께 다루고 있습니다.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미·EU·중국 AI 규제와 저작권 소송, 기업 리스크 커진다</dc:title>
  <dc:creator>NEO AI 콘텐츠 센터</dc:creator>
  <cp:lastModifiedBy>NEO AI 콘텐츠 센터</cp:lastModifiedBy>
  <dcterms:created xsi:type="dcterms:W3CDTF">2026-07-11T08:05:18Z</dcterms:created>
  <dcterms:modified xsi:type="dcterms:W3CDTF">2026-07-11T08:05:18Z</dcterms:modified>
</cp:coreProperties>
</file>