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Title"/>
      </w:pPr>
      <w:r>
        <w:rPr>
          <w:rFonts w:ascii="Malgun Gothic" w:hAnsi="Malgun Gothic" w:eastAsia="맑은 고딕"/>
          <w:color w:val="111827"/>
        </w:rPr>
        <w:t>빅테크 AI 전략, 모델 경쟁에서 도입·인프라 수익화로 이동</w:t>
      </w:r>
    </w:p>
    <w:p>
      <w:pPr>
        <w:pStyle w:val="MetaText"/>
      </w:pPr>
      <w:r>
        <w:rPr>
          <w:rFonts w:ascii="Malgun Gothic" w:hAnsi="Malgun Gothic" w:eastAsia="맑은 고딕"/>
          <w:color w:val="111827"/>
        </w:rPr>
        <w:t>플랫폼: 자동 선택 · 검색의도: 자동 분석 · 발행일: 2026-07-05 05:20:25</w:t>
      </w:r>
    </w:p>
    <w:p>
      <w:pPr>
        <w:pStyle w:val="Heading2"/>
      </w:pPr>
      <w:r>
        <w:rPr>
          <w:rFonts w:ascii="Malgun Gothic" w:hAnsi="Malgun Gothic" w:eastAsia="맑은 고딕"/>
          <w:color w:val="111827"/>
        </w:rPr>
        <w:t>복사용 본문</w:t>
      </w:r>
    </w:p>
    <w:p>
      <w:pPr>
        <w:pStyle w:val="BodyText"/>
        <w:shd w:val="clear" w:color="auto" w:fill="EFF6FF"/>
        <w:pBdr>
          <w:left w:val="single" w:sz="16" w:space="8" w:color="2563EB"/>
        </w:pBdr>
        <w:spacing w:before="120" w:after="160"/>
      </w:pPr>
      <w:r>
        <w:rPr>
          <w:rFonts w:ascii="Malgun Gothic" w:hAnsi="Malgun Gothic" w:eastAsia="맑은 고딕"/>
          <w:color w:val="111827"/>
        </w:rPr>
        <w:t>오늘 빅테크 전략 이슈의 핵심은 AI 경쟁이 단순한 챗봇·모델 성능 경쟁에서 “기업 고객에게 실제로 도입시키고, 막대한 AI 인프라 투자비를 어떻게 회수할 것인가”로 이동하고 있다는 점입니다. Microsoft와 Amazon은 고객사 현장에 AI 엔지니어를 직접 투입하는 방식으로 기업용 AI 시장을 넓히고 있습니다. Google과 Meta는 AI 모델과 컴퓨팅 용량 확보가 전략의 중심 변수로 떠올랐고, Apple은 Siri AI와 보안 업데이트 속도를 통해 기기 중심 AI 전략을 보완하는 흐름입니다. 다만 각 기업의 발표와 보도에는 계획·검토 단계가 섞여 있어 단기 주가 방향으로 단정하기보다 투자 참고용으로 보는 것이 적절합니다.</w:t>
      </w:r>
    </w:p>
    <w:p>
      <w:pPr>
        <w:pStyle w:val="Heading2"/>
      </w:pPr>
      <w:r>
        <w:rPr>
          <w:rFonts w:ascii="Malgun Gothic" w:hAnsi="Malgun Gothic" w:eastAsia="맑은 고딕"/>
          <w:color w:val="111827"/>
        </w:rPr>
        <w:t>왜 지금 빅테크 전략이 주목받을까</w:t>
      </w:r>
    </w:p>
    <w:p>
      <w:pPr>
        <w:pStyle w:val="BodyText"/>
      </w:pPr>
      <w:r>
        <w:rPr>
          <w:rFonts w:ascii="Malgun Gothic" w:hAnsi="Malgun Gothic" w:eastAsia="맑은 고딕"/>
          <w:color w:val="111827"/>
        </w:rPr>
        <w:t>최근 빅테크 AI 전략이 주목받는 이유는 AI 투자가 “얼마나 많이 쓰느냐”에서 “어떻게 돈으로 연결하느냐”로 바뀌고 있기 때문입니다. Reuters 보도에 따르면 AI 인프라 확대에 필요한 데이터센터, 칩, 클라우드 투자가 커지면서 대형 기술기업들은 외부 자금 조달과 새로운 수익 모델을 함께 고민하고 있습니다. 특히 Amazon과 Alphabet 같은 hyperscaler들은 AI 관련 투자 부담이 커지는 가운데 글로벌 채권 발행과 데이터센터 금융 구조를 활용하고 있다는 점도 시장의 관심을 받고 있습니다.</w:t>
      </w:r>
    </w:p>
    <w:p>
      <w:pPr>
        <w:pStyle w:val="BodyText"/>
      </w:pPr>
      <w:r>
        <w:rPr>
          <w:rFonts w:ascii="Malgun Gothic" w:hAnsi="Malgun Gothic" w:eastAsia="맑은 고딕"/>
          <w:color w:val="111827"/>
        </w:rPr>
        <w:t>Microsoft는 2.5억 달러가 아니라 25억 달러 규모의 Microsoft Frontier Company를 통해 기업 고객의 AI 도입을 직접 지원하겠다고 밝혔고, Amazon Web Services도 10억 달러 규모의 Forward Deployed Engineering 조직을 발표했습니다. 두 회사 모두 “AI 도구 판매”만으로는 부족하고, 고객사의 실제 업무 안에 AI를 넣어주는 실행력이 중요해졌다는 판단을 내린 것으로 볼 수 있습니다.</w:t>
      </w:r>
    </w:p>
    <w:p>
      <w:pPr>
        <w:pStyle w:val="BodyText"/>
      </w:pPr>
      <w:r>
        <w:rPr>
          <w:rFonts w:ascii="Malgun Gothic" w:hAnsi="Malgun Gothic" w:eastAsia="맑은 고딕"/>
          <w:color w:val="111827"/>
        </w:rPr>
        <w:t>The Official Microsoft Blog</w:t>
      </w:r>
    </w:p>
    <w:p>
      <w:pPr>
        <w:pStyle w:val="BodyText"/>
      </w:pPr>
      <w:r>
        <w:rPr>
          <w:rFonts w:ascii="Malgun Gothic" w:hAnsi="Malgun Gothic" w:eastAsia="맑은 고딕"/>
          <w:color w:val="111827"/>
        </w:rPr>
        <w:t>Google은 Gemini와 Google Cloud를 중심으로 AI 플랫폼을 확장하고 있지만, 최근에는 Meta가 요청한 Gemini AI 모델 사용량을 Google이 제한했다는 보도가 나왔습니다. 이는 AI 수요가 강하다는 신호이기도 하지만, 동시에 빅테크 내부에서도 컴퓨팅 자원이 무한하지 않다는 점을 보여주는 사례입니다.</w:t>
      </w:r>
    </w:p>
    <w:p>
      <w:pPr>
        <w:pStyle w:val="BodyText"/>
      </w:pPr>
      <w:r>
        <w:rPr>
          <w:rFonts w:ascii="Malgun Gothic" w:hAnsi="Malgun Gothic" w:eastAsia="맑은 고딕"/>
          <w:color w:val="111827"/>
        </w:rPr>
        <w:t>Meta는 막대한 AI 인프라 투자를 광고·소셜 플랫폼 고도화에만 쓰는 것이 아니라, 남는 AI 컴퓨팅 자원을 클라우드 사업으로 수익화하는 방안을 검토 중이라는 Reuters의 Bloomberg 인용 보도가 나왔습니다. 다만 Meta가 공식적으로 확정 발표한 내용은 아니므로, 현재 단계에서는 “검토·보도된 전략”으로 보는 편이 안전합니다.</w:t>
      </w:r>
    </w:p>
    <w:p>
      <w:pPr>
        <w:pStyle w:val="BodyText"/>
      </w:pPr>
      <w:r>
        <w:rPr>
          <w:rFonts w:ascii="Malgun Gothic" w:hAnsi="Malgun Gothic" w:eastAsia="맑은 고딕"/>
          <w:color w:val="111827"/>
        </w:rPr>
        <w:t>Apple은 다른 빅테크와 달리 클라우드 인프라 판매보다 기기 안의 AI 경험과 개인정보 보호, 보안 업데이트 속도에 초점을 맞추고 있습니다. Apple은 WWDC 2026에서 Siri AI와 차세대 Apple Intelligence를 공개했고, Reuters는 Apple이 AI 기반 사이버 보안 우려에 대응해 일부 보안 업데이트를 더 빠르게 배포하기로 했다고 보도했습니다.</w:t>
      </w:r>
    </w:p>
    <w:p>
      <w:pPr>
        <w:pStyle w:val="Heading2"/>
      </w:pPr>
      <w:r>
        <w:rPr>
          <w:rFonts w:ascii="Malgun Gothic" w:hAnsi="Malgun Gothic" w:eastAsia="맑은 고딕"/>
          <w:color w:val="111827"/>
        </w:rPr>
        <w:t>핵심 이슈 정리</w:t>
      </w:r>
    </w:p>
    <w:p>
      <w:pPr>
        <w:pStyle w:val="BodyText"/>
      </w:pPr>
      <w:r>
        <w:rPr>
          <w:rFonts w:ascii="Malgun Gothic" w:hAnsi="Malgun Gothic" w:eastAsia="맑은 고딕"/>
          <w:color w:val="111827"/>
        </w:rPr>
        <w:t>구분	확인 내용	해석 포인트</w:t>
      </w:r>
    </w:p>
    <w:p>
      <w:pPr>
        <w:pStyle w:val="BodyText"/>
      </w:pPr>
      <w:r>
        <w:rPr>
          <w:rFonts w:ascii="Malgun Gothic" w:hAnsi="Malgun Gothic" w:eastAsia="맑은 고딕"/>
          <w:color w:val="111827"/>
        </w:rPr>
        <w:t>Apple	Siri AI와 차세대 Apple Intelligence를 공개했고, AI 보안 우려에 따라 일부 보안 업데이트 배포 속도를 앞당겼다는 보도가 나왔습니다.	Apple의 전략은 클라우드 판매보다 iPhone·Mac·iPad 생태계 안에서 AI 경험을 강화하고, 개인정보 보호와 보안을 경쟁력으로 삼는 방향입니다.</w:t>
      </w:r>
    </w:p>
    <w:p>
      <w:pPr>
        <w:pStyle w:val="BodyText"/>
      </w:pPr>
      <w:r>
        <w:rPr>
          <w:rFonts w:ascii="Malgun Gothic" w:hAnsi="Malgun Gothic" w:eastAsia="맑은 고딕"/>
          <w:color w:val="111827"/>
        </w:rPr>
        <w:t>Microsoft	Microsoft Frontier Company에 25억 달러를 투자하고, 6,000명의 산업·엔지니어링 전문가를 고객사에 투입하는 전략을 발표했습니다.	Copilot과 Azure만 판매하는 단계에서 벗어나, 기업 고객의 실제 업무 프로세스에 AI를 심는 방식으로 수익화를 넓히려는 움직임입니다.</w:t>
      </w:r>
    </w:p>
    <w:p>
      <w:pPr>
        <w:pStyle w:val="BodyText"/>
      </w:pPr>
      <w:r>
        <w:rPr>
          <w:rFonts w:ascii="Malgun Gothic" w:hAnsi="Malgun Gothic" w:eastAsia="맑은 고딕"/>
          <w:color w:val="111827"/>
        </w:rPr>
        <w:t>Google	Gemini 모델과 Google Cloud 중심의 AI 전략을 강화하는 가운데, Meta의 Gemini 사용량을 제한했다는 Reuters 보도가 나왔습니다.	AI 모델 경쟁력뿐 아니라 컴퓨팅 용량, TPU·GPU 확보, 클라우드 인프라 공급 능력이 Google 전략의 핵심 변수가 되고 있습니다.</w:t>
      </w:r>
    </w:p>
    <w:p>
      <w:pPr>
        <w:pStyle w:val="BodyText"/>
      </w:pPr>
      <w:r>
        <w:rPr>
          <w:rFonts w:ascii="Malgun Gothic" w:hAnsi="Malgun Gothic" w:eastAsia="맑은 고딕"/>
          <w:color w:val="111827"/>
        </w:rPr>
        <w:t>Meta	남는 AI 컴퓨팅 자원을 클라우드 사업으로 판매하는 방안을 검토 중이라는 보도가 나왔고, Zuckerberg는 AI agent 기술 진전이 예상보다 느리다고 언급한 것으로 Reuters가 보도했습니다.	Meta는 광고 중심 기업에서 AI 인프라 수익화 기업으로 확장할 가능성을 보여주지만, AI agent 성과와 투자 회수 속도는 아직 확인이 필요합니다.</w:t>
      </w:r>
    </w:p>
    <w:p>
      <w:pPr>
        <w:pStyle w:val="BodyText"/>
      </w:pPr>
      <w:r>
        <w:rPr>
          <w:rFonts w:ascii="Malgun Gothic" w:hAnsi="Malgun Gothic" w:eastAsia="맑은 고딕"/>
          <w:color w:val="111827"/>
        </w:rPr>
        <w:t>Amazon	AWS가 10억 달러 규모의 Forward Deployed Engineering 조직을 발표해 고객사 현장에 AI 엔지니어를 투입하겠다고 밝혔습니다.	AWS는 클라우드 인프라 강점을 바탕으로 기업의 agentic AI 도입을 빠르게 실전화하는 전략을 강화하고 있습니다.</w:t>
      </w:r>
    </w:p>
    <w:p>
      <w:pPr>
        <w:pStyle w:val="Heading2"/>
      </w:pPr>
      <w:r>
        <w:rPr>
          <w:rFonts w:ascii="Malgun Gothic" w:hAnsi="Malgun Gothic" w:eastAsia="맑은 고딕"/>
          <w:color w:val="111827"/>
        </w:rPr>
        <w:t>관련 시장과 종목</w:t>
      </w:r>
    </w:p>
    <w:p>
      <w:pPr>
        <w:pStyle w:val="BodyText"/>
      </w:pPr>
      <w:r>
        <w:rPr>
          <w:rFonts w:ascii="Malgun Gothic" w:hAnsi="Malgun Gothic" w:eastAsia="맑은 고딕"/>
          <w:color w:val="111827"/>
        </w:rPr>
        <w:t>이번 이슈와 직접 관련이 큰 종목은 Apple, Microsoft, Alphabet, Meta, Amazon입니다. 다만 단기 매수·매도 판단보다는 각 기업이 AI 투자비를 실제 매출과 이익으로 연결할 수 있는지 확인하는 참고 지표로 보는 것이 좋습니다.</w:t>
      </w:r>
    </w:p>
    <w:p>
      <w:pPr>
        <w:pStyle w:val="BodyText"/>
      </w:pPr>
      <w:r>
        <w:rPr>
          <w:rFonts w:ascii="Malgun Gothic" w:hAnsi="Malgun Gothic" w:eastAsia="맑은 고딕"/>
          <w:color w:val="111827"/>
        </w:rPr>
        <w:t>Microsoft와 Amazon은 기업 고객의 AI 도입을 직접 돕는 전략을 강화하고 있어 Azure, Microsoft 365 Copilot, AWS, Amazon Bedrock 같은 기업용 AI·클라우드 사업의 성장성이 중요한 관찰 대상입니다. Microsoft의 Frontier Company와 AWS의 FDE 조직은 모두 고객사가 AI를 “테스트”하는 단계를 넘어 실제 업무에 배치하도록 돕는 데 초점이 맞춰져 있습니다.</w:t>
      </w:r>
    </w:p>
    <w:p>
      <w:pPr>
        <w:pStyle w:val="BodyText"/>
      </w:pPr>
      <w:r>
        <w:rPr>
          <w:rFonts w:ascii="Malgun Gothic" w:hAnsi="Malgun Gothic" w:eastAsia="맑은 고딕"/>
          <w:color w:val="111827"/>
        </w:rPr>
        <w:t>Google은 Gemini, Google Cloud, TPU 인프라가 함께 봐야 할 축입니다. Google Cloud는 Next 2026에서 Gemini Enterprise, AI 인프라, 8세대 TPU, agentic data cloud 등을 강조했고, 이는 Alphabet이 검색·광고뿐 아니라 클라우드와 AI 플랫폼 기업으로 평가받는 데 중요한 요소입니다.</w:t>
      </w:r>
    </w:p>
    <w:p>
      <w:pPr>
        <w:pStyle w:val="BodyText"/>
      </w:pPr>
      <w:r>
        <w:rPr>
          <w:rFonts w:ascii="Malgun Gothic" w:hAnsi="Malgun Gothic" w:eastAsia="맑은 고딕"/>
          <w:color w:val="111827"/>
        </w:rPr>
        <w:t>Google Cloud</w:t>
      </w:r>
    </w:p>
    <w:p>
      <w:pPr>
        <w:pStyle w:val="BodyText"/>
      </w:pPr>
      <w:r>
        <w:rPr>
          <w:rFonts w:ascii="Malgun Gothic" w:hAnsi="Malgun Gothic" w:eastAsia="맑은 고딕"/>
          <w:color w:val="111827"/>
        </w:rPr>
        <w:t>Meta는 광고 사업에 AI를 적용하는 흐름과 별도로, AI 컴퓨팅 자원을 외부에 판매할 수 있는지가 관전 포인트입니다. 다만 Reuters가 인용한 Bloomberg 보도는 “계획·검토” 성격이므로, 실제 서비스 출시 여부와 가격 정책, 고객 확보 여부가 확인되어야 합니다.</w:t>
      </w:r>
    </w:p>
    <w:p>
      <w:pPr>
        <w:pStyle w:val="BodyText"/>
      </w:pPr>
      <w:r>
        <w:rPr>
          <w:rFonts w:ascii="Malgun Gothic" w:hAnsi="Malgun Gothic" w:eastAsia="맑은 고딕"/>
          <w:color w:val="111827"/>
        </w:rPr>
        <w:t>Apple은 AI 기능 자체보다 iOS, macOS, Siri AI, Apple Intelligence, 보안 업데이트 체계가 중요합니다. Apple의 AI 전략은 기기 판매, 서비스 매출, 사용자 락인 효과와 연결될 수 있지만, EU 등 지역별 규제와 기능 출시 일정은 계속 확인해야 합니다.</w:t>
      </w:r>
    </w:p>
    <w:p>
      <w:pPr>
        <w:pStyle w:val="BodyText"/>
      </w:pPr>
      <w:r>
        <w:rPr>
          <w:rFonts w:ascii="Malgun Gothic" w:hAnsi="Malgun Gothic" w:eastAsia="맑은 고딕"/>
          <w:color w:val="111827"/>
        </w:rPr>
        <w:t>반도체와 데이터센터 업종도 함께 움직일 수 있습니다. AI 모델을 운영하려면 GPU, TPU, 메모리, 네트워크 장비, 전력 인프라가 필요하기 때문입니다. 다만 이 흐름이 특정 반도체 종목의 주가 상승을 보장하는 것은 아니며, 실적 발표와 수주, 마진, 공급 제약을 따로 확인해야 합니다.</w:t>
      </w:r>
    </w:p>
    <w:p>
      <w:pPr>
        <w:pStyle w:val="Heading2"/>
      </w:pPr>
      <w:r>
        <w:rPr>
          <w:rFonts w:ascii="Malgun Gothic" w:hAnsi="Malgun Gothic" w:eastAsia="맑은 고딕"/>
          <w:color w:val="111827"/>
        </w:rPr>
        <w:t>앞으로 확인할 변수</w:t>
      </w:r>
    </w:p>
    <w:p>
      <w:pPr>
        <w:pStyle w:val="BodyText"/>
      </w:pPr>
      <w:r>
        <w:rPr>
          <w:rFonts w:ascii="Malgun Gothic" w:hAnsi="Malgun Gothic" w:eastAsia="맑은 고딕"/>
          <w:color w:val="111827"/>
        </w:rPr>
        <w:t>가장 먼저 봐야 할 변수는 2분기 실적 발표에서 각 기업이 AI 투자비와 수익화 속도를 어떻게 설명하는지입니다. Microsoft는 Frontier Company가 실제 고객 성과로 연결되는지, Amazon은 AWS의 FDE 조직이 신규 클라우드 사용량과 장기 계약으로 이어지는지가 중요합니다.</w:t>
      </w:r>
    </w:p>
    <w:p>
      <w:pPr>
        <w:pStyle w:val="BodyText"/>
      </w:pPr>
      <w:r>
        <w:rPr>
          <w:rFonts w:ascii="Malgun Gothic" w:hAnsi="Malgun Gothic" w:eastAsia="맑은 고딕"/>
          <w:color w:val="111827"/>
        </w:rPr>
        <w:t>Google은 Gemini와 Google Cloud의 수요가 강한 만큼 컴퓨팅 용량 제약이 얼마나 완화되는지 확인해야 합니다. Meta와 관련해 보도된 Gemini 사용 제한 사례는 AI 경쟁에서 모델 성능뿐 아니라 공급 가능한 컴퓨팅 자원이 핵심 병목이 될 수 있음을 보여줍니다.</w:t>
      </w:r>
    </w:p>
    <w:p>
      <w:pPr>
        <w:pStyle w:val="BodyText"/>
      </w:pPr>
      <w:r>
        <w:rPr>
          <w:rFonts w:ascii="Malgun Gothic" w:hAnsi="Malgun Gothic" w:eastAsia="맑은 고딕"/>
          <w:color w:val="111827"/>
        </w:rPr>
        <w:t>Meta는 AI agent 개발 속도와 남는 컴퓨팅 자원 판매 전략이 함께 확인되어야 합니다. Zuckerberg가 AI agent 기술 진전이 예상보다 느리다고 언급했다는 보도는 Meta의 AI 투자 기대치를 평가할 때 중요한 참고 자료입니다.</w:t>
      </w:r>
    </w:p>
    <w:p>
      <w:pPr>
        <w:pStyle w:val="BodyText"/>
      </w:pPr>
      <w:r>
        <w:rPr>
          <w:rFonts w:ascii="Malgun Gothic" w:hAnsi="Malgun Gothic" w:eastAsia="맑은 고딕"/>
          <w:color w:val="111827"/>
        </w:rPr>
        <w:t>Apple은 Siri AI의 실제 출시 지역, 지원 언어, 지원 기기, 개인정보 보호 방식, EU 규제 이슈를 계속 봐야 합니다. Reuters는 EU 측과 Apple CEO Tim Cook이 Siri AI 관련 쟁점에 대해 건설적 대화를 했다고 보도했지만, 기능 출시 일정과 규제 해소 여부는 아직 변동 가능성이 있습니다.</w:t>
      </w:r>
    </w:p>
    <w:p>
      <w:pPr>
        <w:pStyle w:val="BodyText"/>
      </w:pPr>
      <w:r>
        <w:rPr>
          <w:rFonts w:ascii="Malgun Gothic" w:hAnsi="Malgun Gothic" w:eastAsia="맑은 고딕"/>
          <w:color w:val="111827"/>
        </w:rPr>
        <w:t>거시 지표로는 미국 금리 전망, 고용지표, 물가 지표, 달러 흐름, 장기 국채금리, 데이터센터 전력 비용을 함께 보는 것이 좋습니다. AI 인프라 투자가 커질수록 빅테크의 현금흐름, 채권 발행 비용, 설비투자 부담이 시장 평가에 더 크게 반영될 수 있습니다.</w:t>
      </w:r>
    </w:p>
    <w:p>
      <w:pPr>
        <w:pStyle w:val="Heading2"/>
      </w:pPr>
      <w:r>
        <w:rPr>
          <w:rFonts w:ascii="Malgun Gothic" w:hAnsi="Malgun Gothic" w:eastAsia="맑은 고딕"/>
          <w:color w:val="111827"/>
        </w:rPr>
        <w:t>개인 투자자가 조심할 점</w:t>
      </w:r>
    </w:p>
    <w:p>
      <w:pPr>
        <w:pStyle w:val="BodyText"/>
      </w:pPr>
      <w:r>
        <w:rPr>
          <w:rFonts w:ascii="Malgun Gothic" w:hAnsi="Malgun Gothic" w:eastAsia="맑은 고딕"/>
          <w:color w:val="111827"/>
        </w:rPr>
        <w:t>첫째, “AI 전략 발표”와 “실제 이익 증가”는 다르게 봐야 합니다. 기업이 대규모 투자 계획을 발표해도, 그 투자가 매출과 영업이익으로 연결되기까지는 시간이 걸릴 수 있습니다.</w:t>
      </w:r>
    </w:p>
    <w:p>
      <w:pPr>
        <w:pStyle w:val="BodyText"/>
      </w:pPr>
      <w:r>
        <w:rPr>
          <w:rFonts w:ascii="Malgun Gothic" w:hAnsi="Malgun Gothic" w:eastAsia="맑은 고딕"/>
          <w:color w:val="111827"/>
        </w:rPr>
        <w:t>둘째, 보도 단계의 내용은 확정 발표와 구분해야 합니다. Meta의 AI 컴퓨팅 판매 전략은 Reuters가 Bloomberg 보도를 인용한 내용이므로, 공식 출시 여부와 사업 구조가 확인되기 전까지는 단정적으로 판단하기 어렵습니다.</w:t>
      </w:r>
    </w:p>
    <w:p>
      <w:pPr>
        <w:pStyle w:val="BodyText"/>
      </w:pPr>
      <w:r>
        <w:rPr>
          <w:rFonts w:ascii="Malgun Gothic" w:hAnsi="Malgun Gothic" w:eastAsia="맑은 고딕"/>
          <w:color w:val="111827"/>
        </w:rPr>
        <w:t>셋째, 빅테크는 AI 기대감으로 주가가 움직일 수 있지만, 동시에 규제·보안·데이터센터 비용·전력 문제·반도체 공급 문제에도 민감합니다. 특히 Apple의 EU 내 Siri AI 출시 문제처럼 지역별 규제가 AI 기능 확산 속도에 영향을 줄 수 있습니다.</w:t>
      </w:r>
    </w:p>
    <w:p>
      <w:pPr>
        <w:pStyle w:val="BodyText"/>
      </w:pPr>
      <w:r>
        <w:rPr>
          <w:rFonts w:ascii="Malgun Gothic" w:hAnsi="Malgun Gothic" w:eastAsia="맑은 고딕"/>
          <w:color w:val="111827"/>
        </w:rPr>
        <w:t>넷째, AI 관련 종목이나 반도체, 클라우드, 가상자산 등 위험자산을 함께 볼 때는 단기 뉴스에 과도하게 반응하지 않는 것이 중요합니다. AI 수요가 커지는 흐름과 특정 자산의 단기 가격 흐름은 항상 같은 방향으로 움직이지 않습니다.</w:t>
      </w:r>
    </w:p>
    <w:p>
      <w:pPr>
        <w:pStyle w:val="Heading2"/>
      </w:pPr>
      <w:r>
        <w:rPr>
          <w:rFonts w:ascii="Malgun Gothic" w:hAnsi="Malgun Gothic" w:eastAsia="맑은 고딕"/>
          <w:color w:val="111827"/>
        </w:rPr>
        <w:t>FAQ</w:t>
      </w:r>
    </w:p>
    <w:p>
      <w:pPr>
        <w:pStyle w:val="BodyText"/>
      </w:pPr>
      <w:r>
        <w:rPr>
          <w:rFonts w:ascii="Malgun Gothic" w:hAnsi="Malgun Gothic" w:eastAsia="맑은 고딕"/>
          <w:color w:val="111827"/>
        </w:rPr>
        <w:t>Q1. 빅테크 전략 이슈가 중요한 이유는 무엇인가요?</w:t>
      </w:r>
    </w:p>
    <w:p>
      <w:pPr>
        <w:pStyle w:val="BodyText"/>
      </w:pPr>
      <w:r>
        <w:rPr>
          <w:rFonts w:ascii="Malgun Gothic" w:hAnsi="Malgun Gothic" w:eastAsia="맑은 고딕"/>
          <w:color w:val="111827"/>
        </w:rPr>
        <w:t>A. Apple, Microsoft, Google, Meta, Amazon의 AI 전략은 글로벌 기술주 흐름뿐 아니라 클라우드, 반도체, 데이터센터, 전력 인프라 투자 방향에 영향을 줄 수 있기 때문입니다. 최근에는 모델 성능 경쟁보다 기업 고객 도입, AI 인프라 확보, 투자비 회수 전략이 더 중요한 변수로 부각되고 있습니다.</w:t>
      </w:r>
    </w:p>
    <w:p>
      <w:pPr>
        <w:pStyle w:val="BodyText"/>
      </w:pPr>
      <w:r>
        <w:rPr>
          <w:rFonts w:ascii="Malgun Gothic" w:hAnsi="Malgun Gothic" w:eastAsia="맑은 고딕"/>
          <w:color w:val="111827"/>
        </w:rPr>
        <w:t>Q2. 이 이슈와 함께 봐야 할 지표나 뉴스는 무엇인가요?</w:t>
      </w:r>
    </w:p>
    <w:p>
      <w:pPr>
        <w:pStyle w:val="BodyText"/>
      </w:pPr>
      <w:r>
        <w:rPr>
          <w:rFonts w:ascii="Malgun Gothic" w:hAnsi="Malgun Gothic" w:eastAsia="맑은 고딕"/>
          <w:color w:val="111827"/>
        </w:rPr>
        <w:t>A. 각 기업의 분기 실적, AI 관련 설비투자 규모, 클라우드 매출 성장률, 데이터센터 투자 계획, GPU·TPU 공급 상황, 미국 금리와 고용·물가 지표를 함께 보는 것이 좋습니다. 특히 Microsoft와 Amazon은 기업용 AI 도입 성과, Google은 Gemini와 Cloud 수요, Meta는 AI agent 성과와 컴퓨팅 수익화, Apple은 Siri AI 출시 일정이 핵심입니다.</w:t>
      </w:r>
    </w:p>
    <w:p>
      <w:pPr>
        <w:pStyle w:val="BodyText"/>
      </w:pPr>
      <w:r>
        <w:rPr>
          <w:rFonts w:ascii="Malgun Gothic" w:hAnsi="Malgun Gothic" w:eastAsia="맑은 고딕"/>
          <w:color w:val="111827"/>
        </w:rPr>
        <w:t>Q3. 단기적으로 주의할 점은 무엇인가요?</w:t>
      </w:r>
    </w:p>
    <w:p>
      <w:pPr>
        <w:pStyle w:val="BodyText"/>
      </w:pPr>
      <w:r>
        <w:rPr>
          <w:rFonts w:ascii="Malgun Gothic" w:hAnsi="Malgun Gothic" w:eastAsia="맑은 고딕"/>
          <w:color w:val="111827"/>
        </w:rPr>
        <w:t>A. AI 전략 발표만 보고 단기 주가 방향을 단정하기 어렵습니다. 대규모 AI 투자는 장기 성장 기대를 만들 수 있지만, 단기적으로는 비용 증가, 규제 리스크, 컴퓨팅 공급 부족, 투자 회수 지연 우려가 함께 나타날 수 있습니다.</w:t>
      </w:r>
    </w:p>
    <w:p>
      <w:pPr>
        <w:pStyle w:val="Heading2"/>
      </w:pPr>
      <w:r>
        <w:rPr>
          <w:rFonts w:ascii="Malgun Gothic" w:hAnsi="Malgun Gothic" w:eastAsia="맑은 고딕"/>
          <w:color w:val="111827"/>
        </w:rPr>
        <w:t>핵심 요약</w:t>
      </w:r>
    </w:p>
    <w:p>
      <w:pPr>
        <w:pStyle w:val="BodyText"/>
      </w:pPr>
      <w:r>
        <w:rPr>
          <w:rFonts w:ascii="Malgun Gothic" w:hAnsi="Malgun Gothic" w:eastAsia="맑은 고딕"/>
          <w:color w:val="111827"/>
        </w:rPr>
        <w:t>빅테크 AI 전략의 중심은 모델 발표에서 기업 도입, 인프라 확보, 투자비 회수로 이동하고 있습니다.</w:t>
      </w:r>
    </w:p>
    <w:p>
      <w:pPr>
        <w:pStyle w:val="BodyText"/>
      </w:pPr>
      <w:r>
        <w:rPr>
          <w:rFonts w:ascii="Malgun Gothic" w:hAnsi="Malgun Gothic" w:eastAsia="맑은 고딕"/>
          <w:color w:val="111827"/>
        </w:rPr>
        <w:t>Microsoft와 Amazon은 고객사 현장에 AI 엔지니어를 투입하는 방식으로 기업용 AI 시장을 넓히고 있습니다.</w:t>
      </w:r>
    </w:p>
    <w:p>
      <w:pPr>
        <w:pStyle w:val="BodyText"/>
      </w:pPr>
      <w:r>
        <w:rPr>
          <w:rFonts w:ascii="Malgun Gothic" w:hAnsi="Malgun Gothic" w:eastAsia="맑은 고딕"/>
          <w:color w:val="111827"/>
        </w:rPr>
        <w:t>Google과 Meta는 AI 컴퓨팅 용량과 수익화 전략이 핵심 변수이며, Apple은 Siri AI와 보안·개인정보 보호 중심의 기기 기반 AI 전략을 강화하고 있습니다.</w:t>
      </w:r>
    </w:p>
    <w:p>
      <w:pPr>
        <w:pStyle w:val="NoteText"/>
        <w:shd w:val="clear" w:color="auto" w:fill="F8FAFC"/>
      </w:pPr>
      <w:r>
        <w:rPr>
          <w:rFonts w:ascii="Malgun Gothic" w:hAnsi="Malgun Gothic" w:eastAsia="맑은 고딕"/>
          <w:color w:val="111827"/>
        </w:rPr>
        <w:t>※ 이 글은 해외 경제 흐름을 이해하기 위한 참고용 콘텐츠입니다. 특정 종목이나 자산에 대한 투자 권유가 아니며, 투자 판단은 본인 책임입니다.</w:t>
      </w:r>
    </w:p>
    <w:sectPr>
      <w:pgSz w:w="11906" w:h="16838"/>
      <w:pgMar w:top="1134" w:right="1134" w:bottom="1134" w:left="1134" w:header="500" w:footer="500" w:gutter="0"/>
    </w:sectPr>
  </w:body>
</w:document>
</file>

<file path=word/styles.xml><?xml version="1.0" encoding="utf-8"?>
<w:styles xmlns:w="http://schemas.openxmlformats.org/wordprocessingml/2006/main">
  <w:docDefaults>
    <w:rPrDefault>
      <w:rPr>
        <w:rFonts w:ascii="Malgun Gothic" w:hAnsi="Malgun Gothic" w:eastAsia="맑은 고딕"/>
        <w:sz w:val="21"/>
        <w:szCs w:val="21"/>
        <w:color w:val="263241"/>
      </w:rPr>
    </w:rPrDefault>
    <w:pPrDefault>
      <w:pPr>
        <w:spacing w:after="140" w:line="400" w:lineRule="auto"/>
      </w:pPr>
    </w:pPrDefault>
  </w:docDefaults>
  <w:style w:type="paragraph" w:default="1" w:styleId="Normal">
    <w:name w:val="Normal"/>
    <w:qFormat/>
  </w:style>
  <w:style w:type="paragraph" w:styleId="Title">
    <w:name w:val="Title"/>
    <w:basedOn w:val="Normal"/>
    <w:next w:val="BodyText"/>
    <w:qFormat/>
    <w:pPr>
      <w:spacing w:after="180"/>
    </w:pPr>
    <w:rPr>
      <w:b/>
      <w:color w:val="111827"/>
      <w:sz w:val="40"/>
      <w:szCs w:val="40"/>
    </w:rPr>
  </w:style>
  <w:style w:type="paragraph" w:styleId="Heading2">
    <w:name w:val="Heading 2"/>
    <w:basedOn w:val="Normal"/>
    <w:next w:val="BodyText"/>
    <w:qFormat/>
    <w:pPr>
      <w:spacing w:before="260" w:after="100"/>
      <w:keepNext/>
    </w:pPr>
    <w:rPr>
      <w:b/>
      <w:color w:val="1D4ED8"/>
      <w:sz w:val="30"/>
      <w:szCs w:val="30"/>
    </w:rPr>
  </w:style>
  <w:style w:type="paragraph" w:styleId="Heading3">
    <w:name w:val="Heading 3"/>
    <w:basedOn w:val="Normal"/>
    <w:next w:val="BodyText"/>
    <w:qFormat/>
    <w:pPr>
      <w:spacing w:before="200" w:after="80"/>
      <w:keepNext/>
    </w:pPr>
    <w:rPr>
      <w:b/>
      <w:color w:val="6D28D9"/>
      <w:sz w:val="26"/>
      <w:szCs w:val="26"/>
    </w:rPr>
  </w:style>
  <w:style w:type="paragraph" w:styleId="BodyText">
    <w:name w:val="Body Text"/>
    <w:basedOn w:val="Normal"/>
    <w:pPr>
      <w:spacing w:after="140" w:line="400" w:lineRule="auto"/>
    </w:pPr>
    <w:rPr>
      <w:sz w:val="21"/>
      <w:szCs w:val="21"/>
    </w:rPr>
  </w:style>
  <w:style w:type="paragraph" w:styleId="ListText">
    <w:name w:val="List Text"/>
    <w:basedOn w:val="BodyText"/>
    <w:pPr>
      <w:ind w:left="360" w:hanging="180"/>
    </w:pPr>
  </w:style>
  <w:style w:type="paragraph" w:styleId="NoteText">
    <w:name w:val="Note Text"/>
    <w:basedOn w:val="BodyText"/>
    <w:pPr>
      <w:spacing w:after="120"/>
      <w:shd w:val="clear" w:color="auto" w:fill="F8FAFC"/>
    </w:pPr>
    <w:rPr>
      <w:color w:val="64748B"/>
      <w:sz w:val="19"/>
      <w:szCs w:val="19"/>
    </w:rPr>
  </w:style>
  <w:style w:type="paragraph" w:styleId="MetaText">
    <w:name w:val="Meta Text"/>
    <w:basedOn w:val="Normal"/>
    <w:pPr>
      <w:spacing w:after="180"/>
    </w:pPr>
    <w:rPr>
      <w:color w:val="64748B"/>
      <w:sz w:val="18"/>
      <w:szCs w:val="18"/>
    </w:rPr>
  </w:style>
  <w:style w:type="paragraph" w:styleId="TableText">
    <w:name w:val="Table Text"/>
    <w:basedOn w:val="Normal"/>
    <w:pPr>
      <w:spacing w:after="60" w:line="300" w:lineRule="auto"/>
    </w:pPr>
    <w:rPr>
      <w:sz w:val="18"/>
      <w:szCs w:val="18"/>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NEO AI</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빅테크 AI 전략, 모델 경쟁에서 도입·인프라 수익화로 이동</dc:title>
  <dc:creator>NEO AI 콘텐츠 센터</dc:creator>
  <cp:lastModifiedBy>NEO AI 콘텐츠 센터</cp:lastModifiedBy>
  <dcterms:created xsi:type="dcterms:W3CDTF">2026-07-11T08:18:36Z</dcterms:created>
  <dcterms:modified xsi:type="dcterms:W3CDTF">2026-07-11T08:18:36Z</dcterms:modified>
</cp:coreProperties>
</file>